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0"/>
        <w:jc w:val="left"/>
      </w:pPr>
      <w:r>
        <w:drawing>
          <wp:inline distT="0" distB="0" distL="0" distR="0">
            <wp:extent cx="16192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19250" cy="571500"/>
                    </a:xfrm>
                    <a:prstGeom prst="rect">
                      <a:avLst/>
                    </a:prstGeom>
                  </pic:spPr>
                </pic:pic>
              </a:graphicData>
            </a:graphic>
          </wp:inline>
        </w:drawing>
      </w:r>
    </w:p>
    <w:p>
      <w:pPr>
        <w:spacing w:after="60" w:before="900"/>
      </w:pPr>
      <w:r>
        <w:rPr>
          <w:rFonts w:ascii="Arial" w:cs="Arial" w:eastAsia="Arial" w:hAnsi="Arial"/>
          <w:b/>
          <w:bCs/>
          <w:color w:val="1DC690"/>
          <w:spacing w:val="20"/>
          <w:sz w:val="22"/>
          <w:szCs w:val="22"/>
        </w:rPr>
        <w:t xml:space="preserve">COMPANY FORMATION &amp; GOVERNANCE — TEMPLATE</w:t>
      </w:r>
    </w:p>
    <w:p>
      <w:pPr>
        <w:spacing w:after="200"/>
      </w:pPr>
      <w:r>
        <w:rPr>
          <w:rFonts w:ascii="Arial" w:cs="Arial" w:eastAsia="Arial" w:hAnsi="Arial"/>
          <w:b/>
          <w:bCs/>
          <w:color w:val="1C4670"/>
          <w:sz w:val="52"/>
          <w:szCs w:val="52"/>
        </w:rPr>
        <w:t xml:space="preserve">AGM / EGM Notice</w:t>
      </w:r>
    </w:p>
    <w:p>
      <w:pPr>
        <w:spacing w:after="1200"/>
      </w:pPr>
      <w:r>
        <w:rPr>
          <w:rFonts w:ascii="Arial" w:cs="Arial" w:eastAsia="Arial" w:hAnsi="Arial"/>
          <w:color w:val="4A4A4A"/>
          <w:sz w:val="24"/>
          <w:szCs w:val="24"/>
        </w:rPr>
        <w:t xml:space="preserve">Standard notice format for calling a shareholder meeting under the Companies Act 2014.</w:t>
      </w:r>
    </w:p>
    <w:p>
      <w:pPr>
        <w:pBdr>
          <w:top w:val="single" w:color="EAEAE0" w:sz="6" w:space="12"/>
        </w:pBdr>
        <w:spacing w:before="3200"/>
      </w:pPr>
      <w:r>
        <w:rPr>
          <w:rFonts w:ascii="Arial" w:cs="Arial" w:eastAsia="Arial" w:hAnsi="Arial"/>
          <w:color w:val="4A4A4A"/>
          <w:sz w:val="18"/>
          <w:szCs w:val="18"/>
        </w:rPr>
        <w:t xml:space="preserve">Forti Ltd.  |  Sandyford, Dublin 18  |  www.forti.ie</w:t>
      </w:r>
    </w:p>
    <w:p>
      <w:r>
        <w:rPr>
          <w:rFonts w:ascii="Arial" w:cs="Arial" w:eastAsia="Arial" w:hAnsi="Arial"/>
          <w:i/>
          <w:iCs/>
          <w:color w:val="888888"/>
          <w:sz w:val="15"/>
          <w:szCs w:val="15"/>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p>
    <w:p>
      <w:pPr>
        <w:sectPr>
          <w:type w:val="nextPage"/>
          <w:pgSz w:w="11906" w:h="16838" w:orient="portrait"/>
          <w:pgMar w:top="720" w:right="900" w:bottom="720" w:left="900" w:header="708" w:footer="708" w:gutter="0"/>
          <w:pgNumType/>
          <w:docGrid w:linePitch="360"/>
        </w:sectPr>
      </w:pPr>
    </w:p>
    <w:p>
      <w:pPr>
        <w:pStyle w:val="Heading1"/>
        <w:spacing w:after="160" w:before="200"/>
      </w:pPr>
      <w:r>
        <w:rPr>
          <w:rFonts w:ascii="Arial" w:cs="Arial" w:eastAsia="Arial" w:hAnsi="Arial"/>
          <w:b/>
          <w:bCs/>
          <w:color w:val="1C4670"/>
          <w:sz w:val="32"/>
          <w:szCs w:val="32"/>
        </w:rPr>
        <w:t xml:space="preserve">Notice of General Meeting</w:t>
      </w:r>
    </w:p>
    <w:p>
      <w:pPr>
        <w:pBdr>
          <w:bottom w:val="single" w:color="EAEAE0" w:sz="6" w:space="10"/>
        </w:pBdr>
        <w:spacing w:after="300" w:line="280"/>
      </w:pPr>
      <w:r>
        <w:rPr>
          <w:rFonts w:ascii="Arial" w:cs="Arial" w:eastAsia="Arial" w:hAnsi="Arial"/>
          <w:i/>
          <w:iCs/>
          <w:color w:val="333333"/>
          <w:sz w:val="22"/>
          <w:szCs w:val="22"/>
        </w:rPr>
        <w:t xml:space="preserve">Every general meeting of an Irish company — from a routine AGM to an EGM called to approve a special resolution — must be preceded by formal written notice to shareholders. Getting the notice period wrong is one of the more common (and avoidable) governance slips, and can leave a resolution open to challenge. This template covers the standard notice formats and the minimum periods that apply to each.</w:t>
      </w:r>
    </w:p>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Company Name: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Company Number:</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Registered Office: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p>
      <w:pPr>
        <w:spacing w:after="160"/>
      </w:pPr>
    </w:p>
    <w:p>
      <w:pPr>
        <w:spacing w:after="160"/>
      </w:pPr>
      <w:r>
        <w:rPr>
          <w:rFonts w:ascii="Arial" w:cs="Arial" w:eastAsia="Arial" w:hAnsi="Arial"/>
          <w:sz w:val="21"/>
          <w:szCs w:val="21"/>
        </w:rPr>
        <w:t xml:space="preserve">NOTICE IS HEREBY GIVEN that </w:t>
      </w:r>
      <w:r>
        <w:rPr>
          <w:rFonts w:ascii="Arial" w:cs="Arial" w:eastAsia="Arial" w:hAnsi="Arial"/>
          <w:i/>
          <w:iCs/>
          <w:color w:val="278AB0"/>
          <w:sz w:val="21"/>
          <w:szCs w:val="21"/>
        </w:rPr>
        <w:t xml:space="preserve">[type of meeting — Annual General Meeting / Extraordinary General Meeting]</w:t>
      </w:r>
      <w:r>
        <w:rPr>
          <w:rFonts w:ascii="Arial" w:cs="Arial" w:eastAsia="Arial" w:hAnsi="Arial"/>
          <w:sz w:val="21"/>
          <w:szCs w:val="21"/>
        </w:rPr>
        <w:t xml:space="preserve"> of the above company will be held as follows:</w:t>
      </w:r>
    </w:p>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Date: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Time: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Location / Platform:</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p>
      <w:pPr>
        <w:spacing w:after="160"/>
      </w:pPr>
    </w:p>
    <w:p>
      <w:pPr>
        <w:pStyle w:val="Heading2"/>
        <w:spacing w:after="120" w:before="260"/>
      </w:pPr>
      <w:r>
        <w:rPr>
          <w:rFonts w:ascii="Arial" w:cs="Arial" w:eastAsia="Arial" w:hAnsi="Arial"/>
          <w:b/>
          <w:bCs/>
          <w:color w:val="1C4670"/>
          <w:sz w:val="24"/>
          <w:szCs w:val="24"/>
        </w:rPr>
        <w:t xml:space="preserve">Business of the Meeting</w:t>
      </w:r>
    </w:p>
    <w:p>
      <w:pPr>
        <w:spacing w:after="140" w:line="276"/>
      </w:pPr>
      <w:r>
        <w:rPr>
          <w:rFonts w:ascii="Arial" w:cs="Arial" w:eastAsia="Arial" w:hAnsi="Arial"/>
          <w:color w:val="222222"/>
          <w:sz w:val="21"/>
          <w:szCs w:val="21"/>
        </w:rPr>
        <w:t xml:space="preserve">List each resolution to be proposed, identifying whether it is an ordinary resolution (simple majority) or a special resolution (75% majority).</w:t>
      </w:r>
    </w:p>
    <w:p>
      <w:pPr>
        <w:pStyle w:val="ListParagraph"/>
        <w:numPr>
          <w:ilvl w:val="0"/>
          <w:numId w:val="2"/>
        </w:numPr>
        <w:spacing w:after="80"/>
      </w:pPr>
      <w:r>
        <w:rPr>
          <w:rFonts w:ascii="Arial" w:cs="Arial" w:eastAsia="Arial" w:hAnsi="Arial"/>
          <w:color w:val="222222"/>
          <w:sz w:val="21"/>
          <w:szCs w:val="21"/>
        </w:rPr>
        <w:t xml:space="preserve">Ordinary Business: [e.g. to receive and consider the financial statements and reports of the directors].</w:t>
      </w:r>
    </w:p>
    <w:p>
      <w:pPr>
        <w:pStyle w:val="ListParagraph"/>
        <w:numPr>
          <w:ilvl w:val="0"/>
          <w:numId w:val="2"/>
        </w:numPr>
        <w:spacing w:after="80"/>
      </w:pPr>
      <w:r>
        <w:rPr>
          <w:rFonts w:ascii="Arial" w:cs="Arial" w:eastAsia="Arial" w:hAnsi="Arial"/>
          <w:color w:val="222222"/>
          <w:sz w:val="21"/>
          <w:szCs w:val="21"/>
        </w:rPr>
        <w:t xml:space="preserve">Ordinary Resolution: [state resolution in full].</w:t>
      </w:r>
    </w:p>
    <w:p>
      <w:pPr>
        <w:pStyle w:val="ListParagraph"/>
        <w:numPr>
          <w:ilvl w:val="0"/>
          <w:numId w:val="2"/>
        </w:numPr>
        <w:spacing w:after="80"/>
      </w:pPr>
      <w:r>
        <w:rPr>
          <w:rFonts w:ascii="Arial" w:cs="Arial" w:eastAsia="Arial" w:hAnsi="Arial"/>
          <w:color w:val="222222"/>
          <w:sz w:val="21"/>
          <w:szCs w:val="21"/>
        </w:rPr>
        <w:t xml:space="preserve">Special Resolution: [state resolution in full — special resolutions must be set out precisely, as the exact wording is what gets filed with CRO].</w:t>
      </w:r>
    </w:p>
    <w:p>
      <w:pPr>
        <w:spacing w:after="160"/>
      </w:pPr>
    </w:p>
    <w:p>
      <w:pPr>
        <w:pStyle w:val="Heading2"/>
        <w:spacing w:after="120" w:before="260"/>
      </w:pPr>
      <w:r>
        <w:rPr>
          <w:rFonts w:ascii="Arial" w:cs="Arial" w:eastAsia="Arial" w:hAnsi="Arial"/>
          <w:b/>
          <w:bCs/>
          <w:color w:val="1C4670"/>
          <w:sz w:val="24"/>
          <w:szCs w:val="24"/>
        </w:rPr>
        <w:t xml:space="preserve">Notice Periods</w:t>
      </w:r>
    </w:p>
    <w:p>
      <w:pPr>
        <w:spacing w:after="140" w:line="276"/>
      </w:pPr>
      <w:r>
        <w:rPr>
          <w:rFonts w:ascii="Arial" w:cs="Arial" w:eastAsia="Arial" w:hAnsi="Arial"/>
          <w:color w:val="222222"/>
          <w:sz w:val="21"/>
          <w:szCs w:val="21"/>
        </w:rPr>
        <w:t xml:space="preserve">The notice period required depends on the type of meeting and resolution being proposed: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rPr>
          <w:tblHeader/>
        </w:trPr>
        <w:tc>
          <w:tcPr>
            <w:tcW w:type="dxa" w:w="4675"/>
            <w:shd w:fill="1C4670" w:val="clear"/>
            <w:tcMar>
              <w:top w:type="dxa" w:w="100"/>
              <w:left w:type="dxa" w:w="120"/>
              <w:bottom w:type="dxa" w:w="100"/>
              <w:right w:type="dxa" w:w="120"/>
            </w:tcMar>
          </w:tcPr>
          <w:p>
            <w:r>
              <w:rPr>
                <w:rFonts w:ascii="Arial" w:cs="Arial" w:eastAsia="Arial" w:hAnsi="Arial"/>
                <w:b/>
                <w:bCs/>
                <w:color w:val="FFFFFF"/>
                <w:sz w:val="19"/>
                <w:szCs w:val="19"/>
              </w:rPr>
              <w:t xml:space="preserve">Meeting / Resolution Type</w:t>
            </w:r>
          </w:p>
        </w:tc>
        <w:tc>
          <w:tcPr>
            <w:tcW w:type="dxa" w:w="4675"/>
            <w:shd w:fill="1C4670" w:val="clear"/>
            <w:tcMar>
              <w:top w:type="dxa" w:w="100"/>
              <w:left w:type="dxa" w:w="120"/>
              <w:bottom w:type="dxa" w:w="100"/>
              <w:right w:type="dxa" w:w="120"/>
            </w:tcMar>
          </w:tcPr>
          <w:p>
            <w:r>
              <w:rPr>
                <w:rFonts w:ascii="Arial" w:cs="Arial" w:eastAsia="Arial" w:hAnsi="Arial"/>
                <w:b/>
                <w:bCs/>
                <w:color w:val="FFFFFF"/>
                <w:sz w:val="19"/>
                <w:szCs w:val="19"/>
              </w:rPr>
              <w:t xml:space="preserve">Minimum Notice Period</w:t>
            </w:r>
          </w:p>
        </w:tc>
      </w:tr>
      <w:tr>
        <w:tc>
          <w:tcPr>
            <w:tcW w:type="dxa" w:w="4675"/>
            <w:shd w:fill="F7F7F2" w:val="clear"/>
            <w:tcMar>
              <w:top w:type="dxa" w:w="100"/>
              <w:left w:type="dxa" w:w="120"/>
              <w:bottom w:type="dxa" w:w="100"/>
              <w:right w:type="dxa" w:w="120"/>
            </w:tcMar>
          </w:tcPr>
          <w:p>
            <w:r>
              <w:rPr>
                <w:rFonts w:ascii="Arial" w:cs="Arial" w:eastAsia="Arial" w:hAnsi="Arial"/>
                <w:sz w:val="19"/>
                <w:szCs w:val="19"/>
              </w:rPr>
              <w:t xml:space="preserve">Annual General Meeting (AGM)</w:t>
            </w:r>
          </w:p>
        </w:tc>
        <w:tc>
          <w:tcPr>
            <w:tcW w:type="dxa" w:w="4675"/>
            <w:shd w:fill="F7F7F2" w:val="clear"/>
            <w:tcMar>
              <w:top w:type="dxa" w:w="100"/>
              <w:left w:type="dxa" w:w="120"/>
              <w:bottom w:type="dxa" w:w="100"/>
              <w:right w:type="dxa" w:w="120"/>
            </w:tcMar>
          </w:tcPr>
          <w:p>
            <w:r>
              <w:rPr>
                <w:rFonts w:ascii="Arial" w:cs="Arial" w:eastAsia="Arial" w:hAnsi="Arial"/>
                <w:sz w:val="19"/>
                <w:szCs w:val="19"/>
              </w:rPr>
              <w:t xml:space="preserve">21 clear days</w:t>
            </w:r>
          </w:p>
        </w:tc>
      </w:tr>
      <w:tr>
        <w:tc>
          <w:tcPr>
            <w:tcW w:type="dxa" w:w="4675"/>
            <w:shd w:fill="FFFFFF" w:val="clear"/>
            <w:tcMar>
              <w:top w:type="dxa" w:w="100"/>
              <w:left w:type="dxa" w:w="120"/>
              <w:bottom w:type="dxa" w:w="100"/>
              <w:right w:type="dxa" w:w="120"/>
            </w:tcMar>
          </w:tcPr>
          <w:p>
            <w:r>
              <w:rPr>
                <w:rFonts w:ascii="Arial" w:cs="Arial" w:eastAsia="Arial" w:hAnsi="Arial"/>
                <w:sz w:val="19"/>
                <w:szCs w:val="19"/>
              </w:rPr>
              <w:t xml:space="preserve">General meeting to pass a special resolution</w:t>
            </w:r>
          </w:p>
        </w:tc>
        <w:tc>
          <w:tcPr>
            <w:tcW w:type="dxa" w:w="4675"/>
            <w:shd w:fill="FFFFFF" w:val="clear"/>
            <w:tcMar>
              <w:top w:type="dxa" w:w="100"/>
              <w:left w:type="dxa" w:w="120"/>
              <w:bottom w:type="dxa" w:w="100"/>
              <w:right w:type="dxa" w:w="120"/>
            </w:tcMar>
          </w:tcPr>
          <w:p>
            <w:r>
              <w:rPr>
                <w:rFonts w:ascii="Arial" w:cs="Arial" w:eastAsia="Arial" w:hAnsi="Arial"/>
                <w:sz w:val="19"/>
                <w:szCs w:val="19"/>
              </w:rPr>
              <w:t xml:space="preserve">21 clear days</w:t>
            </w:r>
          </w:p>
        </w:tc>
      </w:tr>
      <w:tr>
        <w:tc>
          <w:tcPr>
            <w:tcW w:type="dxa" w:w="4675"/>
            <w:shd w:fill="F7F7F2" w:val="clear"/>
            <w:tcMar>
              <w:top w:type="dxa" w:w="100"/>
              <w:left w:type="dxa" w:w="120"/>
              <w:bottom w:type="dxa" w:w="100"/>
              <w:right w:type="dxa" w:w="120"/>
            </w:tcMar>
          </w:tcPr>
          <w:p>
            <w:r>
              <w:rPr>
                <w:rFonts w:ascii="Arial" w:cs="Arial" w:eastAsia="Arial" w:hAnsi="Arial"/>
                <w:sz w:val="19"/>
                <w:szCs w:val="19"/>
              </w:rPr>
              <w:t xml:space="preserve">Any other general meeting (ordinary resolution only)</w:t>
            </w:r>
          </w:p>
        </w:tc>
        <w:tc>
          <w:tcPr>
            <w:tcW w:type="dxa" w:w="4675"/>
            <w:shd w:fill="F7F7F2" w:val="clear"/>
            <w:tcMar>
              <w:top w:type="dxa" w:w="100"/>
              <w:left w:type="dxa" w:w="120"/>
              <w:bottom w:type="dxa" w:w="100"/>
              <w:right w:type="dxa" w:w="120"/>
            </w:tcMar>
          </w:tcPr>
          <w:p>
            <w:r>
              <w:rPr>
                <w:rFonts w:ascii="Arial" w:cs="Arial" w:eastAsia="Arial" w:hAnsi="Arial"/>
                <w:sz w:val="19"/>
                <w:szCs w:val="19"/>
              </w:rPr>
              <w:t xml:space="preserve">14 clear days</w:t>
            </w:r>
          </w:p>
        </w:tc>
      </w:tr>
      <w:tr>
        <w:tc>
          <w:tcPr>
            <w:tcW w:type="dxa" w:w="4675"/>
            <w:shd w:fill="FFFFFF" w:val="clear"/>
            <w:tcMar>
              <w:top w:type="dxa" w:w="100"/>
              <w:left w:type="dxa" w:w="120"/>
              <w:bottom w:type="dxa" w:w="100"/>
              <w:right w:type="dxa" w:w="120"/>
            </w:tcMar>
          </w:tcPr>
          <w:p>
            <w:r>
              <w:rPr>
                <w:rFonts w:ascii="Arial" w:cs="Arial" w:eastAsia="Arial" w:hAnsi="Arial"/>
                <w:sz w:val="19"/>
                <w:szCs w:val="19"/>
              </w:rPr>
              <w:t xml:space="preserve">Short notice (all members + auditors, if any, agree)</w:t>
            </w:r>
          </w:p>
        </w:tc>
        <w:tc>
          <w:tcPr>
            <w:tcW w:type="dxa" w:w="4675"/>
            <w:shd w:fill="FFFFFF" w:val="clear"/>
            <w:tcMar>
              <w:top w:type="dxa" w:w="100"/>
              <w:left w:type="dxa" w:w="120"/>
              <w:bottom w:type="dxa" w:w="100"/>
              <w:right w:type="dxa" w:w="120"/>
            </w:tcMar>
          </w:tcPr>
          <w:p>
            <w:r>
              <w:rPr>
                <w:rFonts w:ascii="Arial" w:cs="Arial" w:eastAsia="Arial" w:hAnsi="Arial"/>
                <w:sz w:val="19"/>
                <w:szCs w:val="19"/>
              </w:rPr>
              <w:t xml:space="preserve">No minimum — by unanimous consent, s.181(2)</w:t>
            </w:r>
          </w:p>
        </w:tc>
      </w:tr>
    </w:tbl>
    <w:p>
      <w:pPr>
        <w:spacing w:after="160"/>
      </w:pPr>
    </w:p>
    <w:tbl>
      <w:tblPr>
        <w:tblW w:type="dxa" w:w="9350"/>
        <w:tblBorders>
          <w:top w:val="single" w:color="1DC690" w:sz="6"/>
          <w:left w:val="single" w:color="1DC690" w:sz="24"/>
          <w:bottom w:val="single" w:color="1DC690" w:sz="6"/>
          <w:right w:val="single" w:color="1DC69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Proxy rights</w:t>
            </w:r>
          </w:p>
          <w:p>
            <w:r>
              <w:rPr>
                <w:rFonts w:ascii="Arial" w:cs="Arial" w:eastAsia="Arial" w:hAnsi="Arial"/>
                <w:color w:val="333333"/>
                <w:sz w:val="20"/>
                <w:szCs w:val="20"/>
              </w:rPr>
              <w:t xml:space="preserve">A member entitled to attend and vote is entitled to appoint a proxy (who need not be a member) to attend, speak and vote in their place. A form of proxy should accompany this notice if the company’s constitution requires one.</w:t>
            </w:r>
          </w:p>
        </w:tc>
      </w:tr>
    </w:tbl>
    <w:p>
      <w:pPr>
        <w:spacing w:after="160"/>
      </w:pPr>
    </w:p>
    <w:p>
      <w:pPr>
        <w:pStyle w:val="Heading2"/>
        <w:spacing w:after="120" w:before="260"/>
      </w:pPr>
      <w:r>
        <w:rPr>
          <w:rFonts w:ascii="Arial" w:cs="Arial" w:eastAsia="Arial" w:hAnsi="Arial"/>
          <w:b/>
          <w:bCs/>
          <w:color w:val="1C4670"/>
          <w:sz w:val="24"/>
          <w:szCs w:val="24"/>
        </w:rPr>
        <w:t xml:space="preserve">Signed</w:t>
      </w:r>
    </w:p>
    <w:p>
      <w:pPr>
        <w:spacing w:after="60"/>
      </w:pPr>
      <w:r>
        <w:rPr>
          <w:rFonts w:ascii="Arial" w:cs="Arial" w:eastAsia="Arial" w:hAnsi="Arial"/>
          <w:sz w:val="21"/>
          <w:szCs w:val="21"/>
        </w:rPr>
        <w:t xml:space="preserve">By order of the Board</w:t>
      </w:r>
    </w:p>
    <w:p>
      <w:pPr>
        <w:spacing w:after="60"/>
      </w:pPr>
      <w:r>
        <w:rPr>
          <w:rFonts w:ascii="Arial" w:cs="Arial" w:eastAsia="Arial" w:hAnsi="Arial"/>
          <w:sz w:val="21"/>
          <w:szCs w:val="21"/>
        </w:rPr>
        <w:t xml:space="preserve">Signature: ____________________________</w:t>
      </w:r>
    </w:p>
    <w:p>
      <w:pPr>
        <w:spacing w:after="60"/>
      </w:pPr>
      <w:r>
        <w:rPr>
          <w:rFonts w:ascii="Arial" w:cs="Arial" w:eastAsia="Arial" w:hAnsi="Arial"/>
          <w:sz w:val="21"/>
          <w:szCs w:val="21"/>
        </w:rPr>
        <w:t xml:space="preserve">Print Name: ____________________________</w:t>
      </w:r>
    </w:p>
    <w:p>
      <w:pPr>
        <w:spacing w:after="60"/>
      </w:pPr>
      <w:r>
        <w:rPr>
          <w:rFonts w:ascii="Arial" w:cs="Arial" w:eastAsia="Arial" w:hAnsi="Arial"/>
          <w:sz w:val="21"/>
          <w:szCs w:val="21"/>
        </w:rPr>
        <w:t xml:space="preserve">Company Secretary / Director</w:t>
      </w:r>
    </w:p>
    <w:p>
      <w:pPr>
        <w:spacing w:after="300"/>
      </w:pPr>
      <w:r>
        <w:rPr>
          <w:rFonts w:ascii="Arial" w:cs="Arial" w:eastAsia="Arial" w:hAnsi="Arial"/>
          <w:sz w:val="21"/>
          <w:szCs w:val="21"/>
        </w:rPr>
        <w:t xml:space="preserve">Date: ____________________________</w:t>
      </w:r>
    </w:p>
    <w:tbl>
      <w:tblPr>
        <w:tblW w:type="dxa" w:w="9350"/>
        <w:tblBorders>
          <w:top w:val="single" w:color="278AB0" w:sz="6"/>
          <w:left w:val="single" w:color="278AB0" w:sz="24"/>
          <w:bottom w:val="single" w:color="278AB0" w:sz="6"/>
          <w:right w:val="single" w:color="278AB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Prefer to skip the meeting altogether?</w:t>
            </w:r>
          </w:p>
          <w:p>
            <w:r>
              <w:rPr>
                <w:rFonts w:ascii="Arial" w:cs="Arial" w:eastAsia="Arial" w:hAnsi="Arial"/>
                <w:color w:val="333333"/>
                <w:sz w:val="20"/>
                <w:szCs w:val="20"/>
              </w:rPr>
              <w:t xml:space="preserve">Irish private companies can pass most decisions by written resolution instead of holding a physical or virtual meeting — either signed by all members (effective immediately) or by the requisite majority (effective 7 days later for an ordinary resolution, 21 days later for a special resolution, unless that delay is waived in writing). See our separate Shareholder Resolution Template for the wording.</w:t>
            </w:r>
          </w:p>
        </w:tc>
      </w:tr>
    </w:tbl>
    <w:p>
      <w:pPr>
        <w:spacing w:after="200"/>
      </w:pPr>
    </w:p>
    <w:tbl>
      <w:tblPr>
        <w:tblW w:type="dxa" w:w="9350"/>
        <w:tblBorders>
          <w:top w:val="single" w:color="1C4670" w:sz="6"/>
          <w:left w:val="single" w:color="1C4670" w:sz="6"/>
          <w:bottom w:val="single" w:color="1C4670" w:sz="6"/>
          <w:right w:val="single" w:color="1C4670" w:sz="6"/>
          <w:insideH w:val="single" w:color="auto" w:sz="4"/>
          <w:insideV w:val="single" w:color="auto" w:sz="4"/>
        </w:tblBorders>
      </w:tblPr>
      <w:tblGrid>
        <w:gridCol w:w="9350"/>
      </w:tblGrid>
      <w:tr>
        <w:tc>
          <w:tcPr>
            <w:tcW w:type="dxa" w:w="9350"/>
            <w:shd w:fill="1C4670" w:val="clear"/>
            <w:tcMar>
              <w:top w:type="dxa" w:w="220"/>
              <w:left w:type="dxa" w:w="260"/>
              <w:bottom w:type="dxa" w:w="220"/>
              <w:right w:type="dxa" w:w="260"/>
            </w:tcMar>
          </w:tcPr>
          <w:p>
            <w:pPr>
              <w:spacing w:after="80"/>
            </w:pPr>
            <w:r>
              <w:rPr>
                <w:rFonts w:ascii="Arial" w:cs="Arial" w:eastAsia="Arial" w:hAnsi="Arial"/>
                <w:b/>
                <w:bCs/>
                <w:color w:val="FFFFFF"/>
                <w:sz w:val="24"/>
                <w:szCs w:val="24"/>
              </w:rPr>
              <w:t xml:space="preserve">Not sure which resolution — or which notice period — applies?</w:t>
            </w:r>
          </w:p>
          <w:p>
            <w:pPr>
              <w:spacing w:after="140"/>
            </w:pPr>
            <w:r>
              <w:rPr>
                <w:rFonts w:ascii="Arial" w:cs="Arial" w:eastAsia="Arial" w:hAnsi="Arial"/>
                <w:color w:val="E8EEF3"/>
                <w:sz w:val="20"/>
                <w:szCs w:val="20"/>
              </w:rPr>
              <w:t xml:space="preserve">Forti Ltd. supports Irish companies with day-to-day governance and CRO compliance, from calling meetings correctly to filing the resulting resolutions on time. Talk to our team before your next AGM or EGM.</w:t>
            </w:r>
          </w:p>
          <w:p>
            <w:r>
              <w:rPr>
                <w:rFonts w:ascii="Arial" w:cs="Arial" w:eastAsia="Arial" w:hAnsi="Arial"/>
                <w:b/>
                <w:bCs/>
                <w:color w:val="1DC690"/>
                <w:sz w:val="20"/>
                <w:szCs w:val="20"/>
              </w:rPr>
              <w:t xml:space="preserve">info@forti.ie   |   01-9065862   |   www.forti.ie</w:t>
            </w:r>
          </w:p>
        </w:tc>
      </w:tr>
    </w:tbl>
    <w:sectPr>
      <w:headerReference w:type="default" r:id="rId7"/>
      <w:footerReference w:type="default" r:id="rId8"/>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4670" w:sz="6" w:space="6"/>
      </w:pBdr>
      <w:tabs>
        <w:tab w:val="right" w:pos="9026"/>
      </w:tabs>
    </w:pPr>
    <w:r>
      <w:rPr>
        <w:rFonts w:ascii="Arial" w:cs="Arial" w:eastAsia="Arial" w:hAnsi="Arial"/>
        <w:color w:val="4A4A4A"/>
        <w:sz w:val="14"/>
        <w:szCs w:val="14"/>
      </w:rPr>
      <w:t xml:space="preserve">Forti Ltd.  |  Office 106, Nesta Business Centre, 4-5 Burton Hall Road, Sandyford, Dublin 18  |  www.forti.ie</w:t>
    </w:r>
    <w:r>
      <w:rPr>
        <w:rFonts w:ascii="Arial" w:cs="Arial" w:eastAsia="Arial" w:hAnsi="Arial"/>
      </w:rPr>
      <w:t xml:space="preserve">	</w:t>
    </w:r>
    <w:r>
      <w:rPr>
        <w:rFonts w:ascii="Arial" w:cs="Arial" w:eastAsia="Arial" w:hAnsi="Arial"/>
        <w:color w:val="4A4A4A"/>
        <w:sz w:val="14"/>
        <w:szCs w:val="14"/>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C690" w:sz="12" w:space="8"/>
      </w:pBdr>
      <w:jc w:val="right"/>
    </w:pPr>
    <w:r>
      <w:drawing>
        <wp:inline distT="0" distB="0" distL="0" distR="0">
          <wp:extent cx="12382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381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cb80671f708b50df8e914740828ea7e7650ad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ecb80671f708b50df8e914740828ea7e7650ad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2026-07-27T10:59:08.521Z</dcterms:created>
  <dcterms:modified xsi:type="dcterms:W3CDTF">2026-07-27T10:59:08.521Z</dcterms:modified>
</cp:coreProperties>
</file>

<file path=docProps/custom.xml><?xml version="1.0" encoding="utf-8"?>
<Properties xmlns="http://schemas.openxmlformats.org/officeDocument/2006/custom-properties" xmlns:vt="http://schemas.openxmlformats.org/officeDocument/2006/docPropsVTypes"/>
</file>