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PAYROLL &amp; HR — TEMPLATE</w:t>
      </w:r>
    </w:p>
    <w:p>
      <w:pPr>
        <w:spacing w:after="200"/>
      </w:pPr>
      <w:r>
        <w:rPr>
          <w:rFonts w:ascii="Arial" w:cs="Arial" w:eastAsia="Arial" w:hAnsi="Arial"/>
          <w:b/>
          <w:bCs/>
          <w:color w:val="1C4670"/>
          <w:sz w:val="52"/>
          <w:szCs w:val="52"/>
        </w:rPr>
        <w:t xml:space="preserve">New Hire Checklist</w:t>
      </w:r>
    </w:p>
    <w:p>
      <w:pPr>
        <w:spacing w:after="1200"/>
      </w:pPr>
      <w:r>
        <w:rPr>
          <w:rFonts w:ascii="Arial" w:cs="Arial" w:eastAsia="Arial" w:hAnsi="Arial"/>
          <w:color w:val="4A4A4A"/>
          <w:sz w:val="24"/>
          <w:szCs w:val="24"/>
        </w:rPr>
        <w:t xml:space="preserve">What needs to happen before a new employee’s first pay date — employer registration, contract, and payroll setup.</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New Hire Checklist</w:t>
      </w:r>
    </w:p>
    <w:p>
      <w:pPr>
        <w:pBdr>
          <w:bottom w:val="single" w:color="EAEAE0" w:sz="6" w:space="10"/>
        </w:pBdr>
        <w:spacing w:after="300" w:line="280"/>
      </w:pPr>
      <w:r>
        <w:rPr>
          <w:rFonts w:ascii="Arial" w:cs="Arial" w:eastAsia="Arial" w:hAnsi="Arial"/>
          <w:i/>
          <w:iCs/>
          <w:color w:val="333333"/>
          <w:sz w:val="22"/>
          <w:szCs w:val="22"/>
        </w:rPr>
        <w:t xml:space="preserve">Most of what goes wrong with a new hire’s first few weeks is timing, not paperwork content — a contract term promised verbally but never written down, a tax credit not applied because no RPN was requested, a pension question nobody had an answer to. This checklist puts everything in the order it actually needs to happen.</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Employee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Start Date: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Job Title: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1. Before Their First Day</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the company is registered as a PAYE employer with Revenue (see our separate Employer PAYE Registration Checklist if this is your first hire).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Collect the employee’s PPS number, full legal name, address and date of birth.</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Request a Revenue Payroll Notification (RPN) for the employee before running their first payroll.</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Agree salary, hours and start date in writing (email is sufficient at this stage; the formal contract follows).</w:t>
            </w:r>
          </w:p>
        </w:tc>
      </w:tr>
    </w:tbl>
    <w:p>
      <w:pPr>
        <w:spacing w:after="140"/>
      </w:pPr>
    </w:p>
    <w:p>
      <w:pPr>
        <w:pStyle w:val="Heading2"/>
        <w:spacing w:after="120" w:before="260"/>
      </w:pPr>
      <w:r>
        <w:rPr>
          <w:rFonts w:ascii="Arial" w:cs="Arial" w:eastAsia="Arial" w:hAnsi="Arial"/>
          <w:b/>
          <w:bCs/>
          <w:color w:val="1C4670"/>
          <w:sz w:val="24"/>
          <w:szCs w:val="24"/>
        </w:rPr>
        <w:t xml:space="preserve">2. Written Terms of Employment</w:t>
      </w:r>
    </w:p>
    <w:tbl>
      <w:tblPr>
        <w:tblW w:type="dxa" w:w="9350"/>
        <w:tblBorders>
          <w:top w:val="single" w:color="1DC690" w:sz="6"/>
          <w:left w:val="single" w:color="1DC690" w:sz="24"/>
          <w:bottom w:val="single" w:color="1DC690" w:sz="6"/>
          <w:right w:val="single" w:color="1DC69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Two separate deadlines, not one</w:t>
            </w:r>
          </w:p>
          <w:p>
            <w:r>
              <w:rPr>
                <w:rFonts w:ascii="Arial" w:cs="Arial" w:eastAsia="Arial" w:hAnsi="Arial"/>
                <w:color w:val="333333"/>
                <w:sz w:val="20"/>
                <w:szCs w:val="20"/>
              </w:rPr>
              <w:t xml:space="preserve">Under the Employment (Miscellaneous Provisions) Act 2018, five core terms — pay, hours, job title, start date and pay reference period — must be given to the employee in writing within 5 days of starting. The fuller written statement of terms (notice periods, leave entitlements, disciplinary procedure, etc.) must follow within 2 months. Missing either deadline is a standalone breach, even if the employee never raises it.</w:t>
            </w:r>
          </w:p>
        </w:tc>
      </w:tr>
    </w:tbl>
    <w:p>
      <w:pPr>
        <w:spacing w:after="120"/>
      </w:pP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Issue the 5-day core terms statement (pay, hours, job title, start date, pay reference period).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Issue the full written statement of terms within 2 months of the start date.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Have the employee countersign and return a copy of both for the employee file.</w:t>
            </w:r>
          </w:p>
        </w:tc>
      </w:tr>
    </w:tbl>
    <w:p>
      <w:pPr>
        <w:spacing w:after="140"/>
      </w:pPr>
    </w:p>
    <w:p>
      <w:pPr>
        <w:pStyle w:val="Heading2"/>
        <w:spacing w:after="120" w:before="260"/>
      </w:pPr>
      <w:r>
        <w:rPr>
          <w:rFonts w:ascii="Arial" w:cs="Arial" w:eastAsia="Arial" w:hAnsi="Arial"/>
          <w:b/>
          <w:bCs/>
          <w:color w:val="1C4670"/>
          <w:sz w:val="24"/>
          <w:szCs w:val="24"/>
        </w:rPr>
        <w:t xml:space="preserve">3. Payroll Setup</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pay frequency (weekly, fortnightly, monthly) and add the employee to the payroll calendar.</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Check pay rate against the current National Minimum Wage (€14.15/hour for age 20+, lower sub-minimum rates for under-20s) if relevant.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Check MyFutureFund pension auto-enrolment eligibility (aged 23–60, earning €20,000+/year, not already in a payroll pension) — enrolment is automatic via NAERSA if eligible, no employer action required beyond payroll deductions.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Set up bank details for salary payment.</w:t>
            </w:r>
          </w:p>
        </w:tc>
      </w:tr>
    </w:tbl>
    <w:p>
      <w:pPr>
        <w:spacing w:after="140"/>
      </w:pPr>
    </w:p>
    <w:p>
      <w:pPr>
        <w:pStyle w:val="Heading2"/>
        <w:spacing w:after="120" w:before="260"/>
      </w:pPr>
      <w:r>
        <w:rPr>
          <w:rFonts w:ascii="Arial" w:cs="Arial" w:eastAsia="Arial" w:hAnsi="Arial"/>
          <w:b/>
          <w:bCs/>
          <w:color w:val="1C4670"/>
          <w:sz w:val="24"/>
          <w:szCs w:val="24"/>
        </w:rPr>
        <w:t xml:space="preserve">4. Statutory &amp; Company Entitlements to Confirm</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Annual leave entitlement (statutory minimum 4 working weeks, or 8% of hours worked) and how it’s calculated for this role.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Public holiday entitlement — 10 public holidays apply in Ireland each year.</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Statutory sick pay — 5 days per year at 70% of normal daily wage, capped at €110/day, after 13 weeks’ continuous service.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Any company-specific benefits (health insurance, additional leave, remote working policy) and when they take effect.</w:t>
            </w:r>
          </w:p>
        </w:tc>
      </w:tr>
    </w:tbl>
    <w:p>
      <w:pPr>
        <w:spacing w:after="140"/>
      </w:pPr>
    </w:p>
    <w:p>
      <w:pPr>
        <w:pStyle w:val="Heading2"/>
        <w:spacing w:after="120" w:before="260"/>
      </w:pPr>
      <w:r>
        <w:rPr>
          <w:rFonts w:ascii="Arial" w:cs="Arial" w:eastAsia="Arial" w:hAnsi="Arial"/>
          <w:b/>
          <w:bCs/>
          <w:color w:val="1C4670"/>
          <w:sz w:val="24"/>
          <w:szCs w:val="24"/>
        </w:rPr>
        <w:t xml:space="preserve">5. First Week Admin</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Provide access to whatever systems, email and equipment the role requires.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Introduce the employee’s manager and any immediate team contacts.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probation period length and review date, if applicable.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Point the employee to the company’s employee handbook or policies, if one exists.</w:t>
            </w:r>
          </w:p>
        </w:tc>
      </w:tr>
    </w:tbl>
    <w:p>
      <w:pPr>
        <w:spacing w:after="20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Bringing on your first — or fiftieth — employee?</w:t>
            </w:r>
          </w:p>
          <w:p>
            <w:pPr>
              <w:spacing w:after="140"/>
            </w:pPr>
            <w:r>
              <w:rPr>
                <w:rFonts w:ascii="Arial" w:cs="Arial" w:eastAsia="Arial" w:hAnsi="Arial"/>
                <w:color w:val="E8EEF3"/>
                <w:sz w:val="20"/>
                <w:szCs w:val="20"/>
              </w:rPr>
              <w:t xml:space="preserve">Forti Ltd. handles payroll setup, RPNs, statutory entitlements and MyFutureFund compliance for Irish SMEs, so every new hire starts on the right footing. Get in touch ahead of their start date.</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2026-07-27T11:24:02.762Z</dcterms:created>
  <dcterms:modified xsi:type="dcterms:W3CDTF">2026-07-27T11:24:02.762Z</dcterms:modified>
</cp:coreProperties>
</file>

<file path=docProps/custom.xml><?xml version="1.0" encoding="utf-8"?>
<Properties xmlns="http://schemas.openxmlformats.org/officeDocument/2006/custom-properties" xmlns:vt="http://schemas.openxmlformats.org/officeDocument/2006/docPropsVTypes"/>
</file>