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600"/>
        <w:jc w:val="left"/>
      </w:pPr>
      <w:r>
        <w:drawing>
          <wp:inline distT="0" distB="0" distL="0" distR="0">
            <wp:extent cx="16192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19250" cy="571500"/>
                    </a:xfrm>
                    <a:prstGeom prst="rect">
                      <a:avLst/>
                    </a:prstGeom>
                  </pic:spPr>
                </pic:pic>
              </a:graphicData>
            </a:graphic>
          </wp:inline>
        </w:drawing>
      </w:r>
    </w:p>
    <w:p>
      <w:pPr>
        <w:spacing w:after="60" w:before="900"/>
      </w:pPr>
      <w:r>
        <w:rPr>
          <w:rFonts w:ascii="Arial" w:cs="Arial" w:eastAsia="Arial" w:hAnsi="Arial"/>
          <w:b/>
          <w:bCs/>
          <w:color w:val="1DC690"/>
          <w:spacing w:val="20"/>
          <w:sz w:val="22"/>
          <w:szCs w:val="22"/>
        </w:rPr>
        <w:t xml:space="preserve">E-COMMERCE — TEMPLATE</w:t>
      </w:r>
    </w:p>
    <w:p>
      <w:pPr>
        <w:spacing w:after="200"/>
      </w:pPr>
      <w:r>
        <w:rPr>
          <w:rFonts w:ascii="Arial" w:cs="Arial" w:eastAsia="Arial" w:hAnsi="Arial"/>
          <w:b/>
          <w:bCs/>
          <w:color w:val="1C4670"/>
          <w:sz w:val="52"/>
          <w:szCs w:val="52"/>
        </w:rPr>
        <w:t xml:space="preserve">E-commerce Bookkeeping Reconciliation Checklist</w:t>
      </w:r>
    </w:p>
    <w:p>
      <w:pPr>
        <w:spacing w:after="1200"/>
      </w:pPr>
      <w:r>
        <w:rPr>
          <w:rFonts w:ascii="Arial" w:cs="Arial" w:eastAsia="Arial" w:hAnsi="Arial"/>
          <w:color w:val="4A4A4A"/>
          <w:sz w:val="24"/>
          <w:szCs w:val="24"/>
        </w:rPr>
        <w:t xml:space="preserve">Getting marketplace settlement data into Xero correctly — the step most e-commerce books get wrong.</w:t>
      </w:r>
    </w:p>
    <w:p>
      <w:pPr>
        <w:pBdr>
          <w:top w:val="single" w:color="EAEAE0" w:sz="6" w:space="12"/>
        </w:pBdr>
        <w:spacing w:before="3200"/>
      </w:pPr>
      <w:r>
        <w:rPr>
          <w:rFonts w:ascii="Arial" w:cs="Arial" w:eastAsia="Arial" w:hAnsi="Arial"/>
          <w:color w:val="4A4A4A"/>
          <w:sz w:val="18"/>
          <w:szCs w:val="18"/>
        </w:rPr>
        <w:t xml:space="preserve">Forti Ltd.  |  Sandyford, Dublin 18  |  www.forti.ie</w:t>
      </w:r>
    </w:p>
    <w:p>
      <w:r>
        <w:rPr>
          <w:rFonts w:ascii="Arial" w:cs="Arial" w:eastAsia="Arial" w:hAnsi="Arial"/>
          <w:i/>
          <w:iCs/>
          <w:color w:val="888888"/>
          <w:sz w:val="15"/>
          <w:szCs w:val="15"/>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p>
    <w:p>
      <w:pPr>
        <w:sectPr>
          <w:type w:val="nextPage"/>
          <w:pgSz w:w="11906" w:h="16838" w:orient="portrait"/>
          <w:pgMar w:top="720" w:right="900" w:bottom="720" w:left="900" w:header="708" w:footer="708" w:gutter="0"/>
          <w:pgNumType/>
          <w:docGrid w:linePitch="360"/>
        </w:sectPr>
      </w:pPr>
    </w:p>
    <w:p>
      <w:pPr>
        <w:pStyle w:val="Heading1"/>
        <w:spacing w:after="160" w:before="200"/>
      </w:pPr>
      <w:r>
        <w:rPr>
          <w:rFonts w:ascii="Arial" w:cs="Arial" w:eastAsia="Arial" w:hAnsi="Arial"/>
          <w:b/>
          <w:bCs/>
          <w:color w:val="1C4670"/>
          <w:sz w:val="32"/>
          <w:szCs w:val="32"/>
        </w:rPr>
        <w:t xml:space="preserve">E-commerce Bookkeeping Reconciliation Checklist</w:t>
      </w:r>
    </w:p>
    <w:p>
      <w:pPr>
        <w:pBdr>
          <w:bottom w:val="single" w:color="EAEAE0" w:sz="6" w:space="10"/>
        </w:pBdr>
        <w:spacing w:after="300" w:line="280"/>
      </w:pPr>
      <w:r>
        <w:rPr>
          <w:rFonts w:ascii="Arial" w:cs="Arial" w:eastAsia="Arial" w:hAnsi="Arial"/>
          <w:i/>
          <w:iCs/>
          <w:color w:val="333333"/>
          <w:sz w:val="22"/>
          <w:szCs w:val="22"/>
        </w:rPr>
        <w:t xml:space="preserve">The single biggest bookkeeping mistake in e-commerce is treating a marketplace payout as a single sales figure. A payout from Amazon or Shopify is really a bundle of gross sales, refunds, fees, VAT collected by the marketplace, and advertising spend all netted together — and recording just the net deposit misstates your revenue, your VAT return, and your margins.</w:t>
      </w:r>
    </w:p>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Business Name: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Sales Channels:</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p>
      <w:pPr>
        <w:spacing w:after="160"/>
      </w:pPr>
    </w:p>
    <w:p>
      <w:pPr>
        <w:pStyle w:val="Heading2"/>
        <w:spacing w:after="120" w:before="260"/>
      </w:pPr>
      <w:r>
        <w:rPr>
          <w:rFonts w:ascii="Arial" w:cs="Arial" w:eastAsia="Arial" w:hAnsi="Arial"/>
          <w:b/>
          <w:bCs/>
          <w:color w:val="1C4670"/>
          <w:sz w:val="24"/>
          <w:szCs w:val="24"/>
        </w:rPr>
        <w:t xml:space="preserve">1. Set Up the Right Tools</w:t>
      </w:r>
    </w:p>
    <w:tbl>
      <w:tblPr>
        <w:tblW w:type="dxa" w:w="9350"/>
        <w:tblBorders>
          <w:top w:val="none"/>
          <w:left w:val="none"/>
          <w:bottom w:val="single" w:color="DDDDDD" w:sz="2"/>
          <w:right w:val="none"/>
          <w:insideH w:val="none"/>
          <w:insideV w:val="none"/>
        </w:tblBorders>
      </w:tblPr>
      <w:tblGrid>
        <w:gridCol w:w="500"/>
        <w:gridCol w:w="5150"/>
        <w:gridCol w:w="370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5150"/>
            <w:tcMar>
              <w:top w:type="dxa" w:w="100"/>
              <w:bottom w:type="dxa" w:w="100"/>
            </w:tcMar>
          </w:tcPr>
          <w:p>
            <w:r>
              <w:rPr>
                <w:rFonts w:ascii="Arial" w:cs="Arial" w:eastAsia="Arial" w:hAnsi="Arial"/>
                <w:sz w:val="21"/>
                <w:szCs w:val="21"/>
              </w:rPr>
              <w:t xml:space="preserve">Connect a dedicated e-commerce reconciliation tool (A2X, Link My Books, or similar) rather than relying on a raw bank feed for marketplace income.</w:t>
            </w:r>
          </w:p>
        </w:tc>
        <w:tc>
          <w:tcPr>
            <w:tcW w:type="dxa" w:w="3700"/>
            <w:tcMar>
              <w:top w:type="dxa" w:w="100"/>
              <w:bottom w:type="dxa" w:w="100"/>
            </w:tcMar>
          </w:tcPr>
          <w:p>
            <w:r>
              <w:rPr>
                <w:rFonts w:ascii="Arial" w:cs="Arial" w:eastAsia="Arial" w:hAnsi="Arial"/>
                <w:i/>
                <w:iCs/>
                <w:color w:val="666666"/>
                <w:sz w:val="18"/>
                <w:szCs w:val="18"/>
              </w:rPr>
              <w:t xml:space="preserve">Bank feeds only show the net payout — they can’t split it into gross sales, fees and VAT on their own.</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Connect Dext (or similar) for capturing supplier invoices and receipts, particularly for inventory purchases and advertising spend.</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the reconciliation tool is mapped to the correct nominal codes in Xero — gross sales, fees, refunds, and VAT should each land in their own account, not be netted together.</w:t>
            </w:r>
          </w:p>
        </w:tc>
      </w:tr>
    </w:tbl>
    <w:p>
      <w:pPr>
        <w:spacing w:after="140"/>
      </w:pPr>
    </w:p>
    <w:p>
      <w:pPr>
        <w:pStyle w:val="Heading2"/>
        <w:spacing w:after="120" w:before="260"/>
      </w:pPr>
      <w:r>
        <w:rPr>
          <w:rFonts w:ascii="Arial" w:cs="Arial" w:eastAsia="Arial" w:hAnsi="Arial"/>
          <w:b/>
          <w:bCs/>
          <w:color w:val="1C4670"/>
          <w:sz w:val="24"/>
          <w:szCs w:val="24"/>
        </w:rPr>
        <w:t xml:space="preserve">2. Understand What’s in a Settlement Report</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Gross sales — the full price the customer paid, before any deductions.</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Marketplace/platform fees — referral fees, fulfilment fees, subscription fees.</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Refunds and returns — processed separately from the original sale, sometimes in a later settlement period.</w:t>
            </w:r>
          </w:p>
        </w:tc>
      </w:tr>
    </w:tbl>
    <w:tbl>
      <w:tblPr>
        <w:tblW w:type="dxa" w:w="9350"/>
        <w:tblBorders>
          <w:top w:val="none"/>
          <w:left w:val="none"/>
          <w:bottom w:val="single" w:color="DDDDDD" w:sz="2"/>
          <w:right w:val="none"/>
          <w:insideH w:val="none"/>
          <w:insideV w:val="none"/>
        </w:tblBorders>
      </w:tblPr>
      <w:tblGrid>
        <w:gridCol w:w="500"/>
        <w:gridCol w:w="5150"/>
        <w:gridCol w:w="370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5150"/>
            <w:tcMar>
              <w:top w:type="dxa" w:w="100"/>
              <w:bottom w:type="dxa" w:w="100"/>
            </w:tcMar>
          </w:tcPr>
          <w:p>
            <w:r>
              <w:rPr>
                <w:rFonts w:ascii="Arial" w:cs="Arial" w:eastAsia="Arial" w:hAnsi="Arial"/>
                <w:sz w:val="21"/>
                <w:szCs w:val="21"/>
              </w:rPr>
              <w:t xml:space="preserve">VAT collected by the marketplace under deemed supplier rules — this is not your VAT to remit, but it needs to be excluded correctly from your own VAT return, not simply ignored.</w:t>
            </w:r>
          </w:p>
        </w:tc>
        <w:tc>
          <w:tcPr>
            <w:tcW w:type="dxa" w:w="3700"/>
            <w:tcMar>
              <w:top w:type="dxa" w:w="100"/>
              <w:bottom w:type="dxa" w:w="100"/>
            </w:tcMar>
          </w:tcPr>
          <w:p>
            <w:r>
              <w:rPr>
                <w:rFonts w:ascii="Arial" w:cs="Arial" w:eastAsia="Arial" w:hAnsi="Arial"/>
                <w:i/>
                <w:iCs/>
                <w:color w:val="666666"/>
                <w:sz w:val="18"/>
                <w:szCs w:val="18"/>
              </w:rPr>
              <w:t xml:space="preserve">See our separate Amazon FBA / Marketplace VAT &amp; Customs Checklist.</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Advertising spend (e.g. Amazon PPC) — often deducted directly from the payout rather than invoiced separately.</w:t>
            </w:r>
          </w:p>
        </w:tc>
      </w:tr>
    </w:tbl>
    <w:p>
      <w:pPr>
        <w:spacing w:after="140"/>
      </w:pPr>
    </w:p>
    <w:p>
      <w:pPr>
        <w:pStyle w:val="Heading2"/>
        <w:spacing w:after="120" w:before="260"/>
      </w:pPr>
      <w:r>
        <w:rPr>
          <w:rFonts w:ascii="Arial" w:cs="Arial" w:eastAsia="Arial" w:hAnsi="Arial"/>
          <w:b/>
          <w:bCs/>
          <w:color w:val="1C4670"/>
          <w:sz w:val="24"/>
          <w:szCs w:val="24"/>
        </w:rPr>
        <w:t xml:space="preserve">3. Monthly Reconciliation Routine</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Reconcile each marketplace’s settlement reports to the bank deposit for that period — the two should tie out exactly, once fees and VAT are accounted for.</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Check that gross sales recorded in Xero match the marketplace’s own sales dashboard for the same period.</w:t>
            </w:r>
          </w:p>
        </w:tc>
      </w:tr>
    </w:tbl>
    <w:tbl>
      <w:tblPr>
        <w:tblW w:type="dxa" w:w="9350"/>
        <w:tblBorders>
          <w:top w:val="none"/>
          <w:left w:val="none"/>
          <w:bottom w:val="single" w:color="DDDDDD" w:sz="2"/>
          <w:right w:val="none"/>
          <w:insideH w:val="none"/>
          <w:insideV w:val="none"/>
        </w:tblBorders>
      </w:tblPr>
      <w:tblGrid>
        <w:gridCol w:w="500"/>
        <w:gridCol w:w="5150"/>
        <w:gridCol w:w="370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5150"/>
            <w:tcMar>
              <w:top w:type="dxa" w:w="100"/>
              <w:bottom w:type="dxa" w:w="100"/>
            </w:tcMar>
          </w:tcPr>
          <w:p>
            <w:r>
              <w:rPr>
                <w:rFonts w:ascii="Arial" w:cs="Arial" w:eastAsia="Arial" w:hAnsi="Arial"/>
                <w:sz w:val="21"/>
                <w:szCs w:val="21"/>
              </w:rPr>
              <w:t xml:space="preserve">Reconcile inventory purchases and cost of goods sold against supplier invoices captured in Dext.</w:t>
            </w:r>
          </w:p>
        </w:tc>
        <w:tc>
          <w:tcPr>
            <w:tcW w:type="dxa" w:w="3700"/>
            <w:tcMar>
              <w:top w:type="dxa" w:w="100"/>
              <w:bottom w:type="dxa" w:w="100"/>
            </w:tcMar>
          </w:tcPr>
          <w:p>
            <w:r>
              <w:rPr>
                <w:rFonts w:ascii="Arial" w:cs="Arial" w:eastAsia="Arial" w:hAnsi="Arial"/>
                <w:i/>
                <w:iCs/>
                <w:color w:val="666666"/>
                <w:sz w:val="18"/>
                <w:szCs w:val="18"/>
              </w:rPr>
              <w:t xml:space="preserve">See our separate Inventory &amp; COGS Tracker if you’re not yet tracking this systematically.</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Flag any settlement period that spans a VAT return period boundary — timing differences here are a common source of VAT return errors.</w:t>
            </w:r>
          </w:p>
        </w:tc>
      </w:tr>
    </w:tbl>
    <w:p>
      <w:pPr>
        <w:spacing w:after="140"/>
      </w:pPr>
    </w:p>
    <w:p>
      <w:pPr>
        <w:pStyle w:val="Heading2"/>
        <w:spacing w:after="120" w:before="260"/>
      </w:pPr>
      <w:r>
        <w:rPr>
          <w:rFonts w:ascii="Arial" w:cs="Arial" w:eastAsia="Arial" w:hAnsi="Arial"/>
          <w:b/>
          <w:bCs/>
          <w:color w:val="1C4670"/>
          <w:sz w:val="24"/>
          <w:szCs w:val="24"/>
        </w:rPr>
        <w:t xml:space="preserve">4. VAT-Specific Checks</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sales where the marketplace is the deemed VAT supplier are excluded from your own VAT return’s output VAT, since the marketplace already remits that VAT.</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OSS-reportable EU sales (where applicable) are captured separately from domestic Irish sales in your accounting software.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Reconcile the VAT figures in your accounting software against the marketplace’s own VAT reports before filing your VAT3.</w:t>
            </w:r>
          </w:p>
        </w:tc>
      </w:tr>
    </w:tbl>
    <w:p>
      <w:pPr>
        <w:spacing w:after="140"/>
      </w:pPr>
    </w:p>
    <w:p>
      <w:pPr>
        <w:pStyle w:val="Heading2"/>
        <w:spacing w:after="120" w:before="260"/>
      </w:pPr>
      <w:r>
        <w:rPr>
          <w:rFonts w:ascii="Arial" w:cs="Arial" w:eastAsia="Arial" w:hAnsi="Arial"/>
          <w:b/>
          <w:bCs/>
          <w:color w:val="1C4670"/>
          <w:sz w:val="24"/>
          <w:szCs w:val="24"/>
        </w:rPr>
        <w:t xml:space="preserve">5. Month-End Review</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Review gross margin by channel — fee structures differ enough between marketplaces that blended figures can hide an unprofitable channel.</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Reconcile any advertising spend against a marketing budget, since it’s often the largest variable cost after cost of goods sold.</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all settlement periods for the month have been imported — marketplace payout schedules don’t always align neatly with calendar months.</w:t>
            </w:r>
          </w:p>
        </w:tc>
      </w:tr>
    </w:tbl>
    <w:p>
      <w:pPr>
        <w:spacing w:after="200"/>
      </w:pPr>
    </w:p>
    <w:tbl>
      <w:tblPr>
        <w:tblW w:type="dxa" w:w="9350"/>
        <w:tblBorders>
          <w:top w:val="single" w:color="278AB0" w:sz="6"/>
          <w:left w:val="single" w:color="278AB0" w:sz="24"/>
          <w:bottom w:val="single" w:color="278AB0" w:sz="6"/>
          <w:right w:val="single" w:color="278AB0" w:sz="6"/>
          <w:insideH w:val="single" w:color="auto" w:sz="4"/>
          <w:insideV w:val="single" w:color="auto" w:sz="4"/>
        </w:tblBorders>
      </w:tblPr>
      <w:tblGrid>
        <w:gridCol w:w="9350"/>
      </w:tblGrid>
      <w:tr>
        <w:tc>
          <w:tcPr>
            <w:tcW w:type="dxa" w:w="9350"/>
            <w:shd w:fill="F2FBF7" w:val="clear"/>
            <w:tcMar>
              <w:top w:type="dxa" w:w="140"/>
              <w:left w:type="dxa" w:w="200"/>
              <w:bottom w:type="dxa" w:w="140"/>
              <w:right w:type="dxa" w:w="200"/>
            </w:tcMar>
          </w:tcPr>
          <w:p>
            <w:pPr>
              <w:spacing w:after="60"/>
            </w:pPr>
            <w:r>
              <w:rPr>
                <w:rFonts w:ascii="Arial" w:cs="Arial" w:eastAsia="Arial" w:hAnsi="Arial"/>
                <w:b/>
                <w:bCs/>
                <w:color w:val="1C4670"/>
                <w:sz w:val="20"/>
                <w:szCs w:val="20"/>
              </w:rPr>
              <w:t xml:space="preserve">Retrofitting is always more expensive than staying current</w:t>
            </w:r>
          </w:p>
          <w:p>
            <w:r>
              <w:rPr>
                <w:rFonts w:ascii="Arial" w:cs="Arial" w:eastAsia="Arial" w:hAnsi="Arial"/>
                <w:color w:val="333333"/>
                <w:sz w:val="20"/>
                <w:szCs w:val="20"/>
              </w:rPr>
              <w:t xml:space="preserve">Reconstructing six months of marketplace settlement data after the fact — to work out what was really sales versus fees versus VAT — takes far longer and costs more than reconciling monthly as you go. If your books are behind, the fastest fix is to start reconciling now and deal with the backlog in a single dedicated catch-up exercise.</w:t>
            </w:r>
          </w:p>
        </w:tc>
      </w:tr>
    </w:tbl>
    <w:p>
      <w:pPr>
        <w:spacing w:after="160"/>
      </w:pPr>
    </w:p>
    <w:tbl>
      <w:tblPr>
        <w:tblW w:type="dxa" w:w="9350"/>
        <w:tblBorders>
          <w:top w:val="single" w:color="1C4670" w:sz="6"/>
          <w:left w:val="single" w:color="1C4670" w:sz="6"/>
          <w:bottom w:val="single" w:color="1C4670" w:sz="6"/>
          <w:right w:val="single" w:color="1C4670" w:sz="6"/>
          <w:insideH w:val="single" w:color="auto" w:sz="4"/>
          <w:insideV w:val="single" w:color="auto" w:sz="4"/>
        </w:tblBorders>
      </w:tblPr>
      <w:tblGrid>
        <w:gridCol w:w="9350"/>
      </w:tblGrid>
      <w:tr>
        <w:tc>
          <w:tcPr>
            <w:tcW w:type="dxa" w:w="9350"/>
            <w:shd w:fill="1C4670" w:val="clear"/>
            <w:tcMar>
              <w:top w:type="dxa" w:w="220"/>
              <w:left w:type="dxa" w:w="260"/>
              <w:bottom w:type="dxa" w:w="220"/>
              <w:right w:type="dxa" w:w="260"/>
            </w:tcMar>
          </w:tcPr>
          <w:p>
            <w:pPr>
              <w:spacing w:after="80"/>
            </w:pPr>
            <w:r>
              <w:rPr>
                <w:rFonts w:ascii="Arial" w:cs="Arial" w:eastAsia="Arial" w:hAnsi="Arial"/>
                <w:b/>
                <w:bCs/>
                <w:color w:val="FFFFFF"/>
                <w:sz w:val="24"/>
                <w:szCs w:val="24"/>
              </w:rPr>
              <w:t xml:space="preserve">Want your e-commerce books reconciled properly, every month?</w:t>
            </w:r>
          </w:p>
          <w:p>
            <w:pPr>
              <w:spacing w:after="140"/>
            </w:pPr>
            <w:r>
              <w:rPr>
                <w:rFonts w:ascii="Arial" w:cs="Arial" w:eastAsia="Arial" w:hAnsi="Arial"/>
                <w:color w:val="E8EEF3"/>
                <w:sz w:val="20"/>
                <w:szCs w:val="20"/>
              </w:rPr>
              <w:t xml:space="preserve">Forti Ltd. handles e-commerce bookkeeping end-to-end — Amazon, eBay, Shopify and WooCommerce — using A2X, Link My Books and Dext into Xero. Get in touch to hand this off.</w:t>
            </w:r>
          </w:p>
          <w:p>
            <w:r>
              <w:rPr>
                <w:rFonts w:ascii="Arial" w:cs="Arial" w:eastAsia="Arial" w:hAnsi="Arial"/>
                <w:b/>
                <w:bCs/>
                <w:color w:val="1DC690"/>
                <w:sz w:val="20"/>
                <w:szCs w:val="20"/>
              </w:rPr>
              <w:t xml:space="preserve">info@forti.ie   |   01-9065862   |   www.forti.ie</w:t>
            </w:r>
          </w:p>
        </w:tc>
      </w:tr>
    </w:tbl>
    <w:sectPr>
      <w:headerReference w:type="default" r:id="rId7"/>
      <w:footerReference w:type="default" r:id="rId8"/>
      <w:pgSz w:w="11906" w:h="16838" w:orient="portrait"/>
      <w:pgMar w:top="1000" w:right="900" w:bottom="10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4670" w:sz="6" w:space="6"/>
      </w:pBdr>
      <w:tabs>
        <w:tab w:val="right" w:pos="9026"/>
      </w:tabs>
    </w:pPr>
    <w:r>
      <w:rPr>
        <w:rFonts w:ascii="Arial" w:cs="Arial" w:eastAsia="Arial" w:hAnsi="Arial"/>
        <w:color w:val="4A4A4A"/>
        <w:sz w:val="14"/>
        <w:szCs w:val="14"/>
      </w:rPr>
      <w:t xml:space="preserve">Forti Ltd.  |  Office 106, Nesta Business Centre, 4-5 Burton Hall Road, Sandyford, Dublin 18  |  www.forti.ie</w:t>
    </w:r>
    <w:r>
      <w:rPr>
        <w:rFonts w:ascii="Arial" w:cs="Arial" w:eastAsia="Arial" w:hAnsi="Arial"/>
      </w:rPr>
      <w:t xml:space="preserve">	</w:t>
    </w:r>
    <w:r>
      <w:rPr>
        <w:rFonts w:ascii="Arial" w:cs="Arial" w:eastAsia="Arial" w:hAnsi="Arial"/>
        <w:color w:val="4A4A4A"/>
        <w:sz w:val="14"/>
        <w:szCs w:val="14"/>
      </w:rPr>
      <w:t xml:space="preserve">Page </w:t>
    </w:r>
    <w:fldSimple w:instr="PAG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DC690" w:sz="12" w:space="8"/>
      </w:pBdr>
      <w:jc w:val="right"/>
    </w:pPr>
    <w:r>
      <w:drawing>
        <wp:inline distT="0" distB="0" distL="0" distR="0">
          <wp:extent cx="12382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4381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2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ecb80671f708b50df8e914740828ea7e7650ad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ecb80671f708b50df8e914740828ea7e7650ad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2026-07-27T12:02:15.074Z</dcterms:created>
  <dcterms:modified xsi:type="dcterms:W3CDTF">2026-07-27T12:02:15.075Z</dcterms:modified>
</cp:coreProperties>
</file>

<file path=docProps/custom.xml><?xml version="1.0" encoding="utf-8"?>
<Properties xmlns="http://schemas.openxmlformats.org/officeDocument/2006/custom-properties" xmlns:vt="http://schemas.openxmlformats.org/officeDocument/2006/docPropsVTypes"/>
</file>