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00" w:before="1600" w:lineRule="auto"/>
        <w:jc w:val="left"/>
        <w:rPr/>
      </w:pPr>
      <w:r w:rsidDel="00000000" w:rsidR="00000000" w:rsidRPr="00000000">
        <w:rPr/>
        <w:drawing>
          <wp:inline distB="0" distT="0" distL="0" distR="0">
            <wp:extent cx="1619250" cy="571500"/>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619250" cy="5715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60" w:before="900" w:lineRule="auto"/>
        <w:rPr/>
      </w:pPr>
      <w:r w:rsidDel="00000000" w:rsidR="00000000" w:rsidRPr="00000000">
        <w:rPr>
          <w:rFonts w:ascii="Arial" w:cs="Arial" w:eastAsia="Arial" w:hAnsi="Arial"/>
          <w:b w:val="1"/>
          <w:bCs w:val="1"/>
          <w:color w:val="1dc690"/>
          <w:sz w:val="22"/>
          <w:szCs w:val="22"/>
          <w:rtl w:val="0"/>
        </w:rPr>
        <w:t xml:space="preserve">STARTUPS — TEMPLATE</w:t>
      </w:r>
      <w:r w:rsidDel="00000000" w:rsidR="00000000" w:rsidRPr="00000000">
        <w:rPr>
          <w:rtl w:val="0"/>
        </w:rPr>
      </w:r>
    </w:p>
    <w:p w:rsidR="00000000" w:rsidDel="00000000" w:rsidP="00000000" w:rsidRDefault="00000000" w:rsidRPr="00000000" w14:paraId="00000003">
      <w:pPr>
        <w:spacing w:after="200" w:lineRule="auto"/>
        <w:rPr/>
      </w:pPr>
      <w:r w:rsidDel="00000000" w:rsidR="00000000" w:rsidRPr="00000000">
        <w:rPr>
          <w:rFonts w:ascii="Arial" w:cs="Arial" w:eastAsia="Arial" w:hAnsi="Arial"/>
          <w:b w:val="1"/>
          <w:bCs w:val="1"/>
          <w:color w:val="1c4670"/>
          <w:sz w:val="52"/>
          <w:szCs w:val="52"/>
          <w:rtl w:val="0"/>
        </w:rPr>
        <w:t xml:space="preserve">Pre-Seed / Seed Fundraising Data Room Checklist</w:t>
      </w:r>
      <w:r w:rsidDel="00000000" w:rsidR="00000000" w:rsidRPr="00000000">
        <w:rPr>
          <w:rtl w:val="0"/>
        </w:rPr>
      </w:r>
    </w:p>
    <w:p w:rsidR="00000000" w:rsidDel="00000000" w:rsidP="00000000" w:rsidRDefault="00000000" w:rsidRPr="00000000" w14:paraId="00000004">
      <w:pPr>
        <w:spacing w:after="1200" w:lineRule="auto"/>
        <w:rPr/>
      </w:pPr>
      <w:r w:rsidDel="00000000" w:rsidR="00000000" w:rsidRPr="00000000">
        <w:rPr>
          <w:rFonts w:ascii="Arial" w:cs="Arial" w:eastAsia="Arial" w:hAnsi="Arial"/>
          <w:color w:val="4a4a4a"/>
          <w:sz w:val="24"/>
          <w:szCs w:val="24"/>
          <w:rtl w:val="0"/>
        </w:rPr>
        <w:t xml:space="preserve">What investors will ask for, organised so due diligence doesn’t stall your round.</w:t>
      </w:r>
      <w:r w:rsidDel="00000000" w:rsidR="00000000" w:rsidRPr="00000000">
        <w:rPr>
          <w:rtl w:val="0"/>
        </w:rPr>
      </w:r>
    </w:p>
    <w:p w:rsidR="00000000" w:rsidDel="00000000" w:rsidP="00000000" w:rsidRDefault="00000000" w:rsidRPr="00000000" w14:paraId="00000005">
      <w:pPr>
        <w:pBdr>
          <w:top w:color="eaeae0" w:space="12" w:sz="6" w:val="single"/>
        </w:pBdr>
        <w:spacing w:before="3200" w:lineRule="auto"/>
        <w:rPr/>
      </w:pPr>
      <w:r w:rsidDel="00000000" w:rsidR="00000000" w:rsidRPr="00000000">
        <w:rPr>
          <w:rFonts w:ascii="Arial" w:cs="Arial" w:eastAsia="Arial" w:hAnsi="Arial"/>
          <w:color w:val="4a4a4a"/>
          <w:sz w:val="18"/>
          <w:szCs w:val="18"/>
          <w:rtl w:val="0"/>
        </w:rPr>
        <w:t xml:space="preserve">Forti Ltd.  |  Sandyford, Dublin 18  |  www.forti.ie</w:t>
      </w:r>
      <w:r w:rsidDel="00000000" w:rsidR="00000000" w:rsidRPr="00000000">
        <w:rPr>
          <w:rtl w:val="0"/>
        </w:rPr>
      </w:r>
    </w:p>
    <w:p w:rsidR="00000000" w:rsidDel="00000000" w:rsidP="00000000" w:rsidRDefault="00000000" w:rsidRPr="00000000" w14:paraId="00000006">
      <w:pPr>
        <w:rPr/>
        <w:sectPr>
          <w:pgSz w:h="16838" w:w="11906" w:orient="portrait"/>
          <w:pgMar w:bottom="720" w:top="720" w:left="900" w:right="900" w:header="708" w:footer="708"/>
          <w:pgNumType w:start="1"/>
        </w:sectPr>
      </w:pPr>
      <w:r w:rsidDel="00000000" w:rsidR="00000000" w:rsidRPr="00000000">
        <w:rPr>
          <w:rFonts w:ascii="Arial" w:cs="Arial" w:eastAsia="Arial" w:hAnsi="Arial"/>
          <w:i w:val="1"/>
          <w:iCs w:val="1"/>
          <w:color w:val="888888"/>
          <w:sz w:val="15"/>
          <w:szCs w:val="15"/>
          <w:rtl w:val="0"/>
        </w:rPr>
        <w:t xml:space="preserve">This template is provided for general guidance only and does not constitute legal, tax or professional advice. Forti Ltd. accepts no liability for its use. Always confirm current requirements at cro.ie, rbo.gov.ie or revenue.ie, or speak with your accountant.</w:t>
      </w:r>
      <w:r w:rsidDel="00000000" w:rsidR="00000000" w:rsidRPr="00000000">
        <w:rPr>
          <w:rtl w:val="0"/>
        </w:rPr>
      </w:r>
    </w:p>
    <w:p w:rsidR="00000000" w:rsidDel="00000000" w:rsidP="00000000" w:rsidRDefault="00000000" w:rsidRPr="00000000" w14:paraId="00000007">
      <w:pPr>
        <w:pStyle w:val="Heading1"/>
        <w:spacing w:after="160" w:before="200" w:lineRule="auto"/>
        <w:rPr/>
      </w:pPr>
      <w:r w:rsidDel="00000000" w:rsidR="00000000" w:rsidRPr="00000000">
        <w:rPr>
          <w:rFonts w:ascii="Arial" w:cs="Arial" w:eastAsia="Arial" w:hAnsi="Arial"/>
          <w:b w:val="1"/>
          <w:bCs w:val="1"/>
          <w:color w:val="1c4670"/>
          <w:sz w:val="32"/>
          <w:szCs w:val="32"/>
          <w:rtl w:val="0"/>
        </w:rPr>
        <w:t xml:space="preserve">Fundraising Data Room Checklist</w:t>
      </w:r>
      <w:r w:rsidDel="00000000" w:rsidR="00000000" w:rsidRPr="00000000">
        <w:rPr>
          <w:rtl w:val="0"/>
        </w:rPr>
      </w:r>
    </w:p>
    <w:p w:rsidR="00000000" w:rsidDel="00000000" w:rsidP="00000000" w:rsidRDefault="00000000" w:rsidRPr="00000000" w14:paraId="00000008">
      <w:pPr>
        <w:pBdr>
          <w:bottom w:color="eaeae0" w:space="10" w:sz="6" w:val="single"/>
        </w:pBdr>
        <w:spacing w:after="300" w:line="280" w:lineRule="auto"/>
        <w:rPr/>
      </w:pPr>
      <w:r w:rsidDel="00000000" w:rsidR="00000000" w:rsidRPr="00000000">
        <w:rPr>
          <w:rFonts w:ascii="Arial" w:cs="Arial" w:eastAsia="Arial" w:hAnsi="Arial"/>
          <w:i w:val="1"/>
          <w:iCs w:val="1"/>
          <w:color w:val="333333"/>
          <w:sz w:val="22"/>
          <w:szCs w:val="22"/>
          <w:rtl w:val="0"/>
        </w:rPr>
        <w:t xml:space="preserve">Investors form their first impression of how organised a founder is from how quickly a data room comes together. Scrambling to find a signed contract or a missing share certificate mid-diligence doesn’t just slow the round down — it raises questions it shouldn’t. Build this out before you start pitching, not after a term sheet lands.</w:t>
      </w:r>
      <w:r w:rsidDel="00000000" w:rsidR="00000000" w:rsidRPr="00000000">
        <w:rPr>
          <w:rtl w:val="0"/>
        </w:rPr>
      </w:r>
    </w:p>
    <w:tbl>
      <w:tblPr>
        <w:tblStyle w:val="Table1"/>
        <w:tblW w:w="93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2600"/>
        <w:gridCol w:w="6750"/>
        <w:tblGridChange w:id="0">
          <w:tblGrid>
            <w:gridCol w:w="2600"/>
            <w:gridCol w:w="6750"/>
          </w:tblGrid>
        </w:tblGridChange>
      </w:tblGrid>
      <w:tr>
        <w:trPr>
          <w:cantSplit w:val="0"/>
          <w:tblHeader w:val="0"/>
        </w:trPr>
        <w:tc>
          <w:tcPr>
            <w:tcMar>
              <w:bottom w:w="160.0" w:type="dxa"/>
            </w:tcMar>
          </w:tcPr>
          <w:p w:rsidR="00000000" w:rsidDel="00000000" w:rsidP="00000000" w:rsidRDefault="00000000" w:rsidRPr="00000000" w14:paraId="00000009">
            <w:pPr>
              <w:rPr/>
            </w:pPr>
            <w:r w:rsidDel="00000000" w:rsidR="00000000" w:rsidRPr="00000000">
              <w:rPr>
                <w:rFonts w:ascii="Arial" w:cs="Arial" w:eastAsia="Arial" w:hAnsi="Arial"/>
                <w:b w:val="1"/>
                <w:bCs w:val="1"/>
                <w:color w:val="1c4670"/>
                <w:sz w:val="21"/>
                <w:szCs w:val="21"/>
                <w:rtl w:val="0"/>
              </w:rPr>
              <w:t xml:space="preserve">Company Name:</w:t>
            </w:r>
            <w:r w:rsidDel="00000000" w:rsidR="00000000" w:rsidRPr="00000000">
              <w:rPr>
                <w:rtl w:val="0"/>
              </w:rPr>
            </w:r>
          </w:p>
        </w:tc>
        <w:tc>
          <w:tcPr>
            <w:tcBorders>
              <w:bottom w:color="999999" w:space="0" w:sz="4" w:val="single"/>
            </w:tcBorders>
            <w:tcMar>
              <w:bottom w:w="160.0" w:type="dxa"/>
            </w:tcMar>
          </w:tcPr>
          <w:p w:rsidR="00000000" w:rsidDel="00000000" w:rsidP="00000000" w:rsidRDefault="00000000" w:rsidRPr="00000000" w14:paraId="0000000A">
            <w:pPr>
              <w:rPr/>
            </w:pPr>
            <w:r w:rsidDel="00000000" w:rsidR="00000000" w:rsidRPr="00000000">
              <w:rPr>
                <w:rtl w:val="0"/>
              </w:rPr>
            </w:r>
          </w:p>
        </w:tc>
      </w:tr>
      <w:tr>
        <w:trPr>
          <w:cantSplit w:val="0"/>
          <w:tblHeader w:val="0"/>
        </w:trPr>
        <w:tc>
          <w:tcPr>
            <w:tcMar>
              <w:bottom w:w="160.0" w:type="dxa"/>
            </w:tcMar>
          </w:tcPr>
          <w:p w:rsidR="00000000" w:rsidDel="00000000" w:rsidP="00000000" w:rsidRDefault="00000000" w:rsidRPr="00000000" w14:paraId="0000000B">
            <w:pPr>
              <w:rPr/>
            </w:pPr>
            <w:r w:rsidDel="00000000" w:rsidR="00000000" w:rsidRPr="00000000">
              <w:rPr>
                <w:rFonts w:ascii="Arial" w:cs="Arial" w:eastAsia="Arial" w:hAnsi="Arial"/>
                <w:b w:val="1"/>
                <w:bCs w:val="1"/>
                <w:color w:val="1c4670"/>
                <w:sz w:val="21"/>
                <w:szCs w:val="21"/>
                <w:rtl w:val="0"/>
              </w:rPr>
              <w:t xml:space="preserve">Target Round Size:</w:t>
            </w:r>
            <w:r w:rsidDel="00000000" w:rsidR="00000000" w:rsidRPr="00000000">
              <w:rPr>
                <w:rtl w:val="0"/>
              </w:rPr>
            </w:r>
          </w:p>
        </w:tc>
        <w:tc>
          <w:tcPr>
            <w:tcBorders>
              <w:bottom w:color="999999" w:space="0" w:sz="4" w:val="single"/>
            </w:tcBorders>
            <w:tcMar>
              <w:bottom w:w="160.0" w:type="dxa"/>
            </w:tcMar>
          </w:tcPr>
          <w:p w:rsidR="00000000" w:rsidDel="00000000" w:rsidP="00000000" w:rsidRDefault="00000000" w:rsidRPr="00000000" w14:paraId="0000000C">
            <w:pPr>
              <w:rPr/>
            </w:pPr>
            <w:r w:rsidDel="00000000" w:rsidR="00000000" w:rsidRPr="00000000">
              <w:rPr>
                <w:rtl w:val="0"/>
              </w:rPr>
            </w:r>
          </w:p>
        </w:tc>
      </w:tr>
    </w:tbl>
    <w:p w:rsidR="00000000" w:rsidDel="00000000" w:rsidP="00000000" w:rsidRDefault="00000000" w:rsidRPr="00000000" w14:paraId="0000000D">
      <w:pPr>
        <w:spacing w:after="160" w:lineRule="auto"/>
        <w:rPr/>
      </w:pPr>
      <w:r w:rsidDel="00000000" w:rsidR="00000000" w:rsidRPr="00000000">
        <w:rPr>
          <w:rtl w:val="0"/>
        </w:rPr>
      </w:r>
    </w:p>
    <w:p w:rsidR="00000000" w:rsidDel="00000000" w:rsidP="00000000" w:rsidRDefault="00000000" w:rsidRPr="00000000" w14:paraId="0000000E">
      <w:pPr>
        <w:pStyle w:val="Heading2"/>
        <w:spacing w:after="120" w:before="260" w:lineRule="auto"/>
        <w:rPr/>
      </w:pPr>
      <w:r w:rsidDel="00000000" w:rsidR="00000000" w:rsidRPr="00000000">
        <w:rPr>
          <w:rFonts w:ascii="Arial" w:cs="Arial" w:eastAsia="Arial" w:hAnsi="Arial"/>
          <w:b w:val="1"/>
          <w:bCs w:val="1"/>
          <w:color w:val="1c4670"/>
          <w:sz w:val="24"/>
          <w:szCs w:val="24"/>
          <w:rtl w:val="0"/>
        </w:rPr>
        <w:t xml:space="preserve">1. Corporate &amp; Governance</w:t>
      </w:r>
      <w:r w:rsidDel="00000000" w:rsidR="00000000" w:rsidRPr="00000000">
        <w:rPr>
          <w:rtl w:val="0"/>
        </w:rPr>
      </w:r>
    </w:p>
    <w:tbl>
      <w:tblPr>
        <w:tblStyle w:val="Table2"/>
        <w:tblW w:w="9350.0" w:type="dxa"/>
        <w:jc w:val="left"/>
        <w:tblBorders>
          <w:top w:color="000000" w:space="0" w:sz="0" w:val="nil"/>
          <w:left w:color="000000" w:space="0" w:sz="0" w:val="nil"/>
          <w:bottom w:color="dddddd" w:space="0" w:sz="4" w:val="single"/>
          <w:right w:color="000000" w:space="0" w:sz="0" w:val="nil"/>
          <w:insideH w:color="000000" w:space="0" w:sz="0" w:val="nil"/>
          <w:insideV w:color="000000" w:space="0" w:sz="0" w:val="nil"/>
        </w:tblBorders>
        <w:tblLayout w:type="fixed"/>
        <w:tblLook w:val="0000"/>
      </w:tblPr>
      <w:tblGrid>
        <w:gridCol w:w="500"/>
        <w:gridCol w:w="5150"/>
        <w:gridCol w:w="3700"/>
        <w:tblGridChange w:id="0">
          <w:tblGrid>
            <w:gridCol w:w="500"/>
            <w:gridCol w:w="5150"/>
            <w:gridCol w:w="3700"/>
          </w:tblGrid>
        </w:tblGridChange>
      </w:tblGrid>
      <w:tr>
        <w:trPr>
          <w:cantSplit w:val="0"/>
          <w:tblHeader w:val="0"/>
        </w:trPr>
        <w:tc>
          <w:tcPr>
            <w:tcMar>
              <w:top w:w="100.0" w:type="dxa"/>
              <w:bottom w:w="100.0" w:type="dxa"/>
            </w:tcMar>
          </w:tcPr>
          <w:p w:rsidR="00000000" w:rsidDel="00000000" w:rsidP="00000000" w:rsidRDefault="00000000" w:rsidRPr="00000000" w14:paraId="0000000F">
            <w:pPr>
              <w:rPr/>
            </w:pPr>
            <w:r w:rsidDel="00000000" w:rsidR="00000000" w:rsidRPr="00000000">
              <w:rPr>
                <w:rFonts w:ascii="Arial" w:cs="Arial" w:eastAsia="Arial" w:hAnsi="Arial"/>
                <w:color w:val="1c4670"/>
                <w:sz w:val="26"/>
                <w:szCs w:val="26"/>
                <w:rtl w:val="0"/>
              </w:rPr>
              <w:t xml:space="preserve">☐</w:t>
            </w:r>
            <w:r w:rsidDel="00000000" w:rsidR="00000000" w:rsidRPr="00000000">
              <w:rPr>
                <w:rtl w:val="0"/>
              </w:rPr>
            </w:r>
          </w:p>
        </w:tc>
        <w:tc>
          <w:tcPr>
            <w:tcMar>
              <w:top w:w="100.0" w:type="dxa"/>
              <w:bottom w:w="100.0" w:type="dxa"/>
            </w:tcMar>
          </w:tcPr>
          <w:p w:rsidR="00000000" w:rsidDel="00000000" w:rsidP="00000000" w:rsidRDefault="00000000" w:rsidRPr="00000000" w14:paraId="00000010">
            <w:pPr>
              <w:rPr/>
            </w:pPr>
            <w:r w:rsidDel="00000000" w:rsidR="00000000" w:rsidRPr="00000000">
              <w:rPr>
                <w:rFonts w:ascii="Arial" w:cs="Arial" w:eastAsia="Arial" w:hAnsi="Arial"/>
                <w:sz w:val="21"/>
                <w:szCs w:val="21"/>
                <w:rtl w:val="0"/>
              </w:rPr>
              <w:t xml:space="preserve">Certificate of incorporation and constitution.</w:t>
            </w:r>
            <w:r w:rsidDel="00000000" w:rsidR="00000000" w:rsidRPr="00000000">
              <w:rPr>
                <w:rtl w:val="0"/>
              </w:rPr>
            </w:r>
          </w:p>
        </w:tc>
      </w:tr>
      <w:tr>
        <w:trPr>
          <w:cantSplit w:val="0"/>
          <w:tblHeader w:val="0"/>
        </w:trPr>
        <w:tc>
          <w:tcPr>
            <w:tcMar>
              <w:top w:w="100.0" w:type="dxa"/>
              <w:bottom w:w="100.0" w:type="dxa"/>
            </w:tcMar>
          </w:tcPr>
          <w:p w:rsidR="00000000" w:rsidDel="00000000" w:rsidP="00000000" w:rsidRDefault="00000000" w:rsidRPr="00000000" w14:paraId="00000011">
            <w:pPr>
              <w:rPr/>
            </w:pPr>
            <w:r w:rsidDel="00000000" w:rsidR="00000000" w:rsidRPr="00000000">
              <w:rPr>
                <w:rFonts w:ascii="Arial" w:cs="Arial" w:eastAsia="Arial" w:hAnsi="Arial"/>
                <w:color w:val="1c4670"/>
                <w:sz w:val="26"/>
                <w:szCs w:val="26"/>
                <w:rtl w:val="0"/>
              </w:rPr>
              <w:t xml:space="preserve">☐</w:t>
            </w:r>
            <w:r w:rsidDel="00000000" w:rsidR="00000000" w:rsidRPr="00000000">
              <w:rPr>
                <w:rtl w:val="0"/>
              </w:rPr>
            </w:r>
          </w:p>
        </w:tc>
        <w:tc>
          <w:tcPr>
            <w:tcMar>
              <w:top w:w="100.0" w:type="dxa"/>
              <w:bottom w:w="100.0" w:type="dxa"/>
            </w:tcMar>
          </w:tcPr>
          <w:p w:rsidR="00000000" w:rsidDel="00000000" w:rsidP="00000000" w:rsidRDefault="00000000" w:rsidRPr="00000000" w14:paraId="00000012">
            <w:pPr>
              <w:rPr/>
            </w:pPr>
            <w:r w:rsidDel="00000000" w:rsidR="00000000" w:rsidRPr="00000000">
              <w:rPr>
                <w:rFonts w:ascii="Arial" w:cs="Arial" w:eastAsia="Arial" w:hAnsi="Arial"/>
                <w:sz w:val="21"/>
                <w:szCs w:val="21"/>
                <w:rtl w:val="0"/>
              </w:rPr>
              <w:t xml:space="preserve">Up-to-date Register of Directors &amp; Secretaries, Register of Members, and Internal Beneficial Ownership Register.</w:t>
            </w:r>
            <w:r w:rsidDel="00000000" w:rsidR="00000000" w:rsidRPr="00000000">
              <w:rPr>
                <w:rtl w:val="0"/>
              </w:rPr>
            </w:r>
          </w:p>
        </w:tc>
        <w:tc>
          <w:tcPr>
            <w:tcMar>
              <w:top w:w="100.0" w:type="dxa"/>
              <w:bottom w:w="100.0" w:type="dxa"/>
            </w:tcMar>
          </w:tcPr>
          <w:p w:rsidR="00000000" w:rsidDel="00000000" w:rsidP="00000000" w:rsidRDefault="00000000" w:rsidRPr="00000000" w14:paraId="00000013">
            <w:pPr>
              <w:rPr/>
            </w:pPr>
            <w:r w:rsidDel="00000000" w:rsidR="00000000" w:rsidRPr="00000000">
              <w:rPr>
                <w:rFonts w:ascii="Arial" w:cs="Arial" w:eastAsia="Arial" w:hAnsi="Arial"/>
                <w:i w:val="1"/>
                <w:iCs w:val="1"/>
                <w:color w:val="666666"/>
                <w:sz w:val="18"/>
                <w:szCs w:val="18"/>
                <w:rtl w:val="0"/>
              </w:rPr>
              <w:t xml:space="preserve">See our Governance template bundle if any of these need building from scratch.</w:t>
            </w:r>
            <w:r w:rsidDel="00000000" w:rsidR="00000000" w:rsidRPr="00000000">
              <w:rPr>
                <w:rtl w:val="0"/>
              </w:rPr>
            </w:r>
          </w:p>
        </w:tc>
      </w:tr>
      <w:tr>
        <w:trPr>
          <w:cantSplit w:val="0"/>
          <w:tblHeader w:val="0"/>
        </w:trPr>
        <w:tc>
          <w:tcPr>
            <w:tcMar>
              <w:top w:w="100.0" w:type="dxa"/>
              <w:bottom w:w="100.0" w:type="dxa"/>
            </w:tcMar>
          </w:tcPr>
          <w:p w:rsidR="00000000" w:rsidDel="00000000" w:rsidP="00000000" w:rsidRDefault="00000000" w:rsidRPr="00000000" w14:paraId="00000014">
            <w:pPr>
              <w:rPr/>
            </w:pPr>
            <w:r w:rsidDel="00000000" w:rsidR="00000000" w:rsidRPr="00000000">
              <w:rPr>
                <w:rFonts w:ascii="Arial" w:cs="Arial" w:eastAsia="Arial" w:hAnsi="Arial"/>
                <w:color w:val="1c4670"/>
                <w:sz w:val="26"/>
                <w:szCs w:val="26"/>
                <w:rtl w:val="0"/>
              </w:rPr>
              <w:t xml:space="preserve">☐</w:t>
            </w:r>
            <w:r w:rsidDel="00000000" w:rsidR="00000000" w:rsidRPr="00000000">
              <w:rPr>
                <w:rtl w:val="0"/>
              </w:rPr>
            </w:r>
          </w:p>
        </w:tc>
        <w:tc>
          <w:tcPr>
            <w:tcMar>
              <w:top w:w="100.0" w:type="dxa"/>
              <w:bottom w:w="100.0" w:type="dxa"/>
            </w:tcMar>
          </w:tcPr>
          <w:p w:rsidR="00000000" w:rsidDel="00000000" w:rsidP="00000000" w:rsidRDefault="00000000" w:rsidRPr="00000000" w14:paraId="00000015">
            <w:pPr>
              <w:rPr/>
            </w:pPr>
            <w:r w:rsidDel="00000000" w:rsidR="00000000" w:rsidRPr="00000000">
              <w:rPr>
                <w:rFonts w:ascii="Arial" w:cs="Arial" w:eastAsia="Arial" w:hAnsi="Arial"/>
                <w:sz w:val="21"/>
                <w:szCs w:val="21"/>
                <w:rtl w:val="0"/>
              </w:rPr>
              <w:t xml:space="preserve">Board minutes for all significant decisions (share issues, option grants, material contracts).</w:t>
            </w:r>
            <w:r w:rsidDel="00000000" w:rsidR="00000000" w:rsidRPr="00000000">
              <w:rPr>
                <w:rtl w:val="0"/>
              </w:rPr>
            </w:r>
          </w:p>
        </w:tc>
      </w:tr>
      <w:tr>
        <w:trPr>
          <w:cantSplit w:val="0"/>
          <w:tblHeader w:val="0"/>
        </w:trPr>
        <w:tc>
          <w:tcPr>
            <w:tcMar>
              <w:top w:w="100.0" w:type="dxa"/>
              <w:bottom w:w="100.0" w:type="dxa"/>
            </w:tcMar>
          </w:tcPr>
          <w:p w:rsidR="00000000" w:rsidDel="00000000" w:rsidP="00000000" w:rsidRDefault="00000000" w:rsidRPr="00000000" w14:paraId="00000016">
            <w:pPr>
              <w:rPr/>
            </w:pPr>
            <w:r w:rsidDel="00000000" w:rsidR="00000000" w:rsidRPr="00000000">
              <w:rPr>
                <w:rFonts w:ascii="Arial" w:cs="Arial" w:eastAsia="Arial" w:hAnsi="Arial"/>
                <w:color w:val="1c4670"/>
                <w:sz w:val="26"/>
                <w:szCs w:val="26"/>
                <w:rtl w:val="0"/>
              </w:rPr>
              <w:t xml:space="preserve">☐</w:t>
            </w:r>
            <w:r w:rsidDel="00000000" w:rsidR="00000000" w:rsidRPr="00000000">
              <w:rPr>
                <w:rtl w:val="0"/>
              </w:rPr>
            </w:r>
          </w:p>
        </w:tc>
        <w:tc>
          <w:tcPr>
            <w:tcMar>
              <w:top w:w="100.0" w:type="dxa"/>
              <w:bottom w:w="100.0" w:type="dxa"/>
            </w:tcMar>
          </w:tcPr>
          <w:p w:rsidR="00000000" w:rsidDel="00000000" w:rsidP="00000000" w:rsidRDefault="00000000" w:rsidRPr="00000000" w14:paraId="00000017">
            <w:pPr>
              <w:rPr/>
            </w:pPr>
            <w:r w:rsidDel="00000000" w:rsidR="00000000" w:rsidRPr="00000000">
              <w:rPr>
                <w:rFonts w:ascii="Arial" w:cs="Arial" w:eastAsia="Arial" w:hAnsi="Arial"/>
                <w:sz w:val="21"/>
                <w:szCs w:val="21"/>
                <w:rtl w:val="0"/>
              </w:rPr>
              <w:t xml:space="preserve">All CRO annual returns and RBO filings up to date — an investor’s solicitor will run a company search and this is one of the first things checked.</w:t>
            </w:r>
            <w:r w:rsidDel="00000000" w:rsidR="00000000" w:rsidRPr="00000000">
              <w:rPr>
                <w:rtl w:val="0"/>
              </w:rPr>
            </w:r>
          </w:p>
        </w:tc>
      </w:tr>
    </w:tbl>
    <w:p w:rsidR="00000000" w:rsidDel="00000000" w:rsidP="00000000" w:rsidRDefault="00000000" w:rsidRPr="00000000" w14:paraId="00000018">
      <w:pPr>
        <w:spacing w:after="140" w:lineRule="auto"/>
        <w:rPr/>
      </w:pPr>
      <w:r w:rsidDel="00000000" w:rsidR="00000000" w:rsidRPr="00000000">
        <w:rPr>
          <w:rtl w:val="0"/>
        </w:rPr>
      </w:r>
    </w:p>
    <w:p w:rsidR="00000000" w:rsidDel="00000000" w:rsidP="00000000" w:rsidRDefault="00000000" w:rsidRPr="00000000" w14:paraId="00000019">
      <w:pPr>
        <w:pStyle w:val="Heading2"/>
        <w:spacing w:after="120" w:before="260" w:lineRule="auto"/>
        <w:rPr/>
      </w:pPr>
      <w:r w:rsidDel="00000000" w:rsidR="00000000" w:rsidRPr="00000000">
        <w:rPr>
          <w:rFonts w:ascii="Arial" w:cs="Arial" w:eastAsia="Arial" w:hAnsi="Arial"/>
          <w:b w:val="1"/>
          <w:bCs w:val="1"/>
          <w:color w:val="1c4670"/>
          <w:sz w:val="24"/>
          <w:szCs w:val="24"/>
          <w:rtl w:val="0"/>
        </w:rPr>
        <w:t xml:space="preserve">2. Cap Table &amp; Equity</w:t>
      </w:r>
      <w:r w:rsidDel="00000000" w:rsidR="00000000" w:rsidRPr="00000000">
        <w:rPr>
          <w:rtl w:val="0"/>
        </w:rPr>
      </w:r>
    </w:p>
    <w:tbl>
      <w:tblPr>
        <w:tblStyle w:val="Table3"/>
        <w:tblW w:w="9350.0" w:type="dxa"/>
        <w:jc w:val="left"/>
        <w:tblBorders>
          <w:top w:color="000000" w:space="0" w:sz="0" w:val="nil"/>
          <w:left w:color="000000" w:space="0" w:sz="0" w:val="nil"/>
          <w:bottom w:color="dddddd" w:space="0" w:sz="4" w:val="single"/>
          <w:right w:color="000000" w:space="0" w:sz="0" w:val="nil"/>
          <w:insideH w:color="000000" w:space="0" w:sz="0" w:val="nil"/>
          <w:insideV w:color="000000" w:space="0" w:sz="0" w:val="nil"/>
        </w:tblBorders>
        <w:tblLayout w:type="fixed"/>
        <w:tblLook w:val="0000"/>
      </w:tblPr>
      <w:tblGrid>
        <w:gridCol w:w="500"/>
        <w:gridCol w:w="5150"/>
        <w:gridCol w:w="3700"/>
        <w:tblGridChange w:id="0">
          <w:tblGrid>
            <w:gridCol w:w="500"/>
            <w:gridCol w:w="5150"/>
            <w:gridCol w:w="3700"/>
          </w:tblGrid>
        </w:tblGridChange>
      </w:tblGrid>
      <w:tr>
        <w:trPr>
          <w:cantSplit w:val="0"/>
          <w:tblHeader w:val="0"/>
        </w:trPr>
        <w:tc>
          <w:tcPr>
            <w:tcMar>
              <w:top w:w="100.0" w:type="dxa"/>
              <w:bottom w:w="100.0" w:type="dxa"/>
            </w:tcMar>
          </w:tcPr>
          <w:p w:rsidR="00000000" w:rsidDel="00000000" w:rsidP="00000000" w:rsidRDefault="00000000" w:rsidRPr="00000000" w14:paraId="0000001A">
            <w:pPr>
              <w:rPr/>
            </w:pPr>
            <w:r w:rsidDel="00000000" w:rsidR="00000000" w:rsidRPr="00000000">
              <w:rPr>
                <w:rFonts w:ascii="Arial" w:cs="Arial" w:eastAsia="Arial" w:hAnsi="Arial"/>
                <w:color w:val="1c4670"/>
                <w:sz w:val="26"/>
                <w:szCs w:val="26"/>
                <w:rtl w:val="0"/>
              </w:rPr>
              <w:t xml:space="preserve">☐</w:t>
            </w:r>
            <w:r w:rsidDel="00000000" w:rsidR="00000000" w:rsidRPr="00000000">
              <w:rPr>
                <w:rtl w:val="0"/>
              </w:rPr>
            </w:r>
          </w:p>
        </w:tc>
        <w:tc>
          <w:tcPr>
            <w:tcMar>
              <w:top w:w="100.0" w:type="dxa"/>
              <w:bottom w:w="100.0" w:type="dxa"/>
            </w:tcMar>
          </w:tcPr>
          <w:p w:rsidR="00000000" w:rsidDel="00000000" w:rsidP="00000000" w:rsidRDefault="00000000" w:rsidRPr="00000000" w14:paraId="0000001B">
            <w:pPr>
              <w:rPr/>
            </w:pPr>
            <w:r w:rsidDel="00000000" w:rsidR="00000000" w:rsidRPr="00000000">
              <w:rPr>
                <w:rFonts w:ascii="Arial" w:cs="Arial" w:eastAsia="Arial" w:hAnsi="Arial"/>
                <w:sz w:val="21"/>
                <w:szCs w:val="21"/>
                <w:rtl w:val="0"/>
              </w:rPr>
              <w:t xml:space="preserve">Current, fully-diluted cap table showing all founders, investors and option holders.</w:t>
            </w:r>
            <w:r w:rsidDel="00000000" w:rsidR="00000000" w:rsidRPr="00000000">
              <w:rPr>
                <w:rtl w:val="0"/>
              </w:rPr>
            </w:r>
          </w:p>
        </w:tc>
        <w:tc>
          <w:tcPr>
            <w:tcMar>
              <w:top w:w="100.0" w:type="dxa"/>
              <w:bottom w:w="100.0" w:type="dxa"/>
            </w:tcMar>
          </w:tcPr>
          <w:p w:rsidR="00000000" w:rsidDel="00000000" w:rsidP="00000000" w:rsidRDefault="00000000" w:rsidRPr="00000000" w14:paraId="0000001C">
            <w:pPr>
              <w:rPr/>
            </w:pPr>
            <w:r w:rsidDel="00000000" w:rsidR="00000000" w:rsidRPr="00000000">
              <w:rPr>
                <w:rFonts w:ascii="Arial" w:cs="Arial" w:eastAsia="Arial" w:hAnsi="Arial"/>
                <w:i w:val="1"/>
                <w:iCs w:val="1"/>
                <w:color w:val="666666"/>
                <w:sz w:val="18"/>
                <w:szCs w:val="18"/>
                <w:rtl w:val="0"/>
              </w:rPr>
              <w:t xml:space="preserve">See our Founder Cap Table Tracker if this needs tidying up first.</w:t>
            </w:r>
            <w:r w:rsidDel="00000000" w:rsidR="00000000" w:rsidRPr="00000000">
              <w:rPr>
                <w:rtl w:val="0"/>
              </w:rPr>
            </w:r>
          </w:p>
        </w:tc>
      </w:tr>
      <w:tr>
        <w:trPr>
          <w:cantSplit w:val="0"/>
          <w:tblHeader w:val="0"/>
        </w:trPr>
        <w:tc>
          <w:tcPr>
            <w:tcMar>
              <w:top w:w="100.0" w:type="dxa"/>
              <w:bottom w:w="100.0" w:type="dxa"/>
            </w:tcMar>
          </w:tcPr>
          <w:p w:rsidR="00000000" w:rsidDel="00000000" w:rsidP="00000000" w:rsidRDefault="00000000" w:rsidRPr="00000000" w14:paraId="0000001D">
            <w:pPr>
              <w:rPr/>
            </w:pPr>
            <w:r w:rsidDel="00000000" w:rsidR="00000000" w:rsidRPr="00000000">
              <w:rPr>
                <w:rFonts w:ascii="Arial" w:cs="Arial" w:eastAsia="Arial" w:hAnsi="Arial"/>
                <w:color w:val="1c4670"/>
                <w:sz w:val="26"/>
                <w:szCs w:val="26"/>
                <w:rtl w:val="0"/>
              </w:rPr>
              <w:t xml:space="preserve">☐</w:t>
            </w:r>
            <w:r w:rsidDel="00000000" w:rsidR="00000000" w:rsidRPr="00000000">
              <w:rPr>
                <w:rtl w:val="0"/>
              </w:rPr>
            </w:r>
          </w:p>
        </w:tc>
        <w:tc>
          <w:tcPr>
            <w:tcMar>
              <w:top w:w="100.0" w:type="dxa"/>
              <w:bottom w:w="100.0" w:type="dxa"/>
            </w:tcMar>
          </w:tcPr>
          <w:p w:rsidR="00000000" w:rsidDel="00000000" w:rsidP="00000000" w:rsidRDefault="00000000" w:rsidRPr="00000000" w14:paraId="0000001E">
            <w:pPr>
              <w:rPr/>
            </w:pPr>
            <w:r w:rsidDel="00000000" w:rsidR="00000000" w:rsidRPr="00000000">
              <w:rPr>
                <w:rFonts w:ascii="Arial" w:cs="Arial" w:eastAsia="Arial" w:hAnsi="Arial"/>
                <w:sz w:val="21"/>
                <w:szCs w:val="21"/>
                <w:rtl w:val="0"/>
              </w:rPr>
              <w:t xml:space="preserve">Share certificates and any existing shareholders’ agreement.</w:t>
            </w:r>
            <w:r w:rsidDel="00000000" w:rsidR="00000000" w:rsidRPr="00000000">
              <w:rPr>
                <w:rtl w:val="0"/>
              </w:rPr>
            </w:r>
          </w:p>
        </w:tc>
      </w:tr>
      <w:tr>
        <w:trPr>
          <w:cantSplit w:val="0"/>
          <w:tblHeader w:val="0"/>
        </w:trPr>
        <w:tc>
          <w:tcPr>
            <w:tcMar>
              <w:top w:w="100.0" w:type="dxa"/>
              <w:bottom w:w="100.0" w:type="dxa"/>
            </w:tcMar>
          </w:tcPr>
          <w:p w:rsidR="00000000" w:rsidDel="00000000" w:rsidP="00000000" w:rsidRDefault="00000000" w:rsidRPr="00000000" w14:paraId="0000001F">
            <w:pPr>
              <w:rPr/>
            </w:pPr>
            <w:r w:rsidDel="00000000" w:rsidR="00000000" w:rsidRPr="00000000">
              <w:rPr>
                <w:rFonts w:ascii="Arial" w:cs="Arial" w:eastAsia="Arial" w:hAnsi="Arial"/>
                <w:color w:val="1c4670"/>
                <w:sz w:val="26"/>
                <w:szCs w:val="26"/>
                <w:rtl w:val="0"/>
              </w:rPr>
              <w:t xml:space="preserve">☐</w:t>
            </w:r>
            <w:r w:rsidDel="00000000" w:rsidR="00000000" w:rsidRPr="00000000">
              <w:rPr>
                <w:rtl w:val="0"/>
              </w:rPr>
            </w:r>
          </w:p>
        </w:tc>
        <w:tc>
          <w:tcPr>
            <w:tcMar>
              <w:top w:w="100.0" w:type="dxa"/>
              <w:bottom w:w="100.0" w:type="dxa"/>
            </w:tcMar>
          </w:tcPr>
          <w:p w:rsidR="00000000" w:rsidDel="00000000" w:rsidP="00000000" w:rsidRDefault="00000000" w:rsidRPr="00000000" w14:paraId="00000020">
            <w:pPr>
              <w:rPr/>
            </w:pPr>
            <w:r w:rsidDel="00000000" w:rsidR="00000000" w:rsidRPr="00000000">
              <w:rPr>
                <w:rFonts w:ascii="Arial" w:cs="Arial" w:eastAsia="Arial" w:hAnsi="Arial"/>
                <w:sz w:val="21"/>
                <w:szCs w:val="21"/>
                <w:rtl w:val="0"/>
              </w:rPr>
              <w:t xml:space="preserve">Details of any outstanding convertible loan notes, SAFEs, or similar instruments and their conversion terms.</w:t>
            </w:r>
            <w:r w:rsidDel="00000000" w:rsidR="00000000" w:rsidRPr="00000000">
              <w:rPr>
                <w:rtl w:val="0"/>
              </w:rPr>
            </w:r>
          </w:p>
        </w:tc>
      </w:tr>
      <w:tr>
        <w:trPr>
          <w:cantSplit w:val="0"/>
          <w:tblHeader w:val="0"/>
        </w:trPr>
        <w:tc>
          <w:tcPr>
            <w:tcMar>
              <w:top w:w="100.0" w:type="dxa"/>
              <w:bottom w:w="100.0" w:type="dxa"/>
            </w:tcMar>
          </w:tcPr>
          <w:p w:rsidR="00000000" w:rsidDel="00000000" w:rsidP="00000000" w:rsidRDefault="00000000" w:rsidRPr="00000000" w14:paraId="00000021">
            <w:pPr>
              <w:rPr/>
            </w:pPr>
            <w:r w:rsidDel="00000000" w:rsidR="00000000" w:rsidRPr="00000000">
              <w:rPr>
                <w:rFonts w:ascii="Arial" w:cs="Arial" w:eastAsia="Arial" w:hAnsi="Arial"/>
                <w:color w:val="1c4670"/>
                <w:sz w:val="26"/>
                <w:szCs w:val="26"/>
                <w:rtl w:val="0"/>
              </w:rPr>
              <w:t xml:space="preserve">☐</w:t>
            </w:r>
            <w:r w:rsidDel="00000000" w:rsidR="00000000" w:rsidRPr="00000000">
              <w:rPr>
                <w:rtl w:val="0"/>
              </w:rPr>
            </w:r>
          </w:p>
        </w:tc>
        <w:tc>
          <w:tcPr>
            <w:tcMar>
              <w:top w:w="100.0" w:type="dxa"/>
              <w:bottom w:w="100.0" w:type="dxa"/>
            </w:tcMar>
          </w:tcPr>
          <w:p w:rsidR="00000000" w:rsidDel="00000000" w:rsidP="00000000" w:rsidRDefault="00000000" w:rsidRPr="00000000" w14:paraId="00000022">
            <w:pPr>
              <w:rPr/>
            </w:pPr>
            <w:r w:rsidDel="00000000" w:rsidR="00000000" w:rsidRPr="00000000">
              <w:rPr>
                <w:rFonts w:ascii="Arial" w:cs="Arial" w:eastAsia="Arial" w:hAnsi="Arial"/>
                <w:sz w:val="21"/>
                <w:szCs w:val="21"/>
                <w:rtl w:val="0"/>
              </w:rPr>
              <w:t xml:space="preserve">Details of any KEEP or other share option scheme in place, including grants made to date.</w:t>
            </w:r>
            <w:r w:rsidDel="00000000" w:rsidR="00000000" w:rsidRPr="00000000">
              <w:rPr>
                <w:rtl w:val="0"/>
              </w:rPr>
            </w:r>
          </w:p>
        </w:tc>
      </w:tr>
      <w:tr>
        <w:trPr>
          <w:cantSplit w:val="0"/>
          <w:tblHeader w:val="0"/>
        </w:trPr>
        <w:tc>
          <w:tcPr>
            <w:tcMar>
              <w:top w:w="100.0" w:type="dxa"/>
              <w:bottom w:w="100.0" w:type="dxa"/>
            </w:tcMar>
          </w:tcPr>
          <w:p w:rsidR="00000000" w:rsidDel="00000000" w:rsidP="00000000" w:rsidRDefault="00000000" w:rsidRPr="00000000" w14:paraId="00000023">
            <w:pPr>
              <w:rPr/>
            </w:pPr>
            <w:r w:rsidDel="00000000" w:rsidR="00000000" w:rsidRPr="00000000">
              <w:rPr>
                <w:rFonts w:ascii="Arial" w:cs="Arial" w:eastAsia="Arial" w:hAnsi="Arial"/>
                <w:color w:val="1c4670"/>
                <w:sz w:val="26"/>
                <w:szCs w:val="26"/>
                <w:rtl w:val="0"/>
              </w:rPr>
              <w:t xml:space="preserve">☐</w:t>
            </w:r>
            <w:r w:rsidDel="00000000" w:rsidR="00000000" w:rsidRPr="00000000">
              <w:rPr>
                <w:rtl w:val="0"/>
              </w:rPr>
            </w:r>
          </w:p>
        </w:tc>
        <w:tc>
          <w:tcPr>
            <w:tcMar>
              <w:top w:w="100.0" w:type="dxa"/>
              <w:bottom w:w="100.0" w:type="dxa"/>
            </w:tcMar>
          </w:tcPr>
          <w:p w:rsidR="00000000" w:rsidDel="00000000" w:rsidP="00000000" w:rsidRDefault="00000000" w:rsidRPr="00000000" w14:paraId="00000024">
            <w:pPr>
              <w:rPr/>
            </w:pPr>
            <w:r w:rsidDel="00000000" w:rsidR="00000000" w:rsidRPr="00000000">
              <w:rPr>
                <w:rFonts w:ascii="Arial" w:cs="Arial" w:eastAsia="Arial" w:hAnsi="Arial"/>
                <w:sz w:val="21"/>
                <w:szCs w:val="21"/>
                <w:rtl w:val="0"/>
              </w:rPr>
              <w:t xml:space="preserve">Details of any prior EII, SURE or Start-up Capital Incentive (SCI) fundraising, if applicable.</w:t>
            </w:r>
            <w:r w:rsidDel="00000000" w:rsidR="00000000" w:rsidRPr="00000000">
              <w:rPr>
                <w:rtl w:val="0"/>
              </w:rPr>
            </w:r>
          </w:p>
        </w:tc>
      </w:tr>
    </w:tbl>
    <w:p w:rsidR="00000000" w:rsidDel="00000000" w:rsidP="00000000" w:rsidRDefault="00000000" w:rsidRPr="00000000" w14:paraId="00000025">
      <w:pPr>
        <w:spacing w:after="140" w:lineRule="auto"/>
        <w:rPr/>
      </w:pPr>
      <w:r w:rsidDel="00000000" w:rsidR="00000000" w:rsidRPr="00000000">
        <w:rPr>
          <w:rtl w:val="0"/>
        </w:rPr>
      </w:r>
    </w:p>
    <w:p w:rsidR="00000000" w:rsidDel="00000000" w:rsidP="00000000" w:rsidRDefault="00000000" w:rsidRPr="00000000" w14:paraId="00000026">
      <w:pPr>
        <w:pStyle w:val="Heading2"/>
        <w:spacing w:after="120" w:before="260" w:lineRule="auto"/>
        <w:rPr/>
      </w:pPr>
      <w:r w:rsidDel="00000000" w:rsidR="00000000" w:rsidRPr="00000000">
        <w:rPr>
          <w:rFonts w:ascii="Arial" w:cs="Arial" w:eastAsia="Arial" w:hAnsi="Arial"/>
          <w:b w:val="1"/>
          <w:bCs w:val="1"/>
          <w:color w:val="1c4670"/>
          <w:sz w:val="24"/>
          <w:szCs w:val="24"/>
          <w:rtl w:val="0"/>
        </w:rPr>
        <w:t xml:space="preserve">3. Financials</w:t>
      </w:r>
      <w:r w:rsidDel="00000000" w:rsidR="00000000" w:rsidRPr="00000000">
        <w:rPr>
          <w:rtl w:val="0"/>
        </w:rPr>
      </w:r>
    </w:p>
    <w:tbl>
      <w:tblPr>
        <w:tblStyle w:val="Table4"/>
        <w:tblW w:w="9350.0" w:type="dxa"/>
        <w:jc w:val="left"/>
        <w:tblBorders>
          <w:top w:color="000000" w:space="0" w:sz="0" w:val="nil"/>
          <w:left w:color="000000" w:space="0" w:sz="0" w:val="nil"/>
          <w:bottom w:color="dddddd" w:space="0" w:sz="4" w:val="single"/>
          <w:right w:color="000000" w:space="0" w:sz="0" w:val="nil"/>
          <w:insideH w:color="000000" w:space="0" w:sz="0" w:val="nil"/>
          <w:insideV w:color="000000" w:space="0" w:sz="0" w:val="nil"/>
        </w:tblBorders>
        <w:tblLayout w:type="fixed"/>
        <w:tblLook w:val="0000"/>
      </w:tblPr>
      <w:tblGrid>
        <w:gridCol w:w="500"/>
        <w:gridCol w:w="5150"/>
        <w:gridCol w:w="3700"/>
        <w:tblGridChange w:id="0">
          <w:tblGrid>
            <w:gridCol w:w="500"/>
            <w:gridCol w:w="5150"/>
            <w:gridCol w:w="3700"/>
          </w:tblGrid>
        </w:tblGridChange>
      </w:tblGrid>
      <w:tr>
        <w:trPr>
          <w:cantSplit w:val="0"/>
          <w:tblHeader w:val="0"/>
        </w:trPr>
        <w:tc>
          <w:tcPr>
            <w:tcMar>
              <w:top w:w="100.0" w:type="dxa"/>
              <w:bottom w:w="100.0" w:type="dxa"/>
            </w:tcMar>
          </w:tcPr>
          <w:p w:rsidR="00000000" w:rsidDel="00000000" w:rsidP="00000000" w:rsidRDefault="00000000" w:rsidRPr="00000000" w14:paraId="00000027">
            <w:pPr>
              <w:rPr/>
            </w:pPr>
            <w:r w:rsidDel="00000000" w:rsidR="00000000" w:rsidRPr="00000000">
              <w:rPr>
                <w:rFonts w:ascii="Arial" w:cs="Arial" w:eastAsia="Arial" w:hAnsi="Arial"/>
                <w:color w:val="1c4670"/>
                <w:sz w:val="26"/>
                <w:szCs w:val="26"/>
                <w:rtl w:val="0"/>
              </w:rPr>
              <w:t xml:space="preserve">☐</w:t>
            </w:r>
            <w:r w:rsidDel="00000000" w:rsidR="00000000" w:rsidRPr="00000000">
              <w:rPr>
                <w:rtl w:val="0"/>
              </w:rPr>
            </w:r>
          </w:p>
        </w:tc>
        <w:tc>
          <w:tcPr>
            <w:tcMar>
              <w:top w:w="100.0" w:type="dxa"/>
              <w:bottom w:w="100.0" w:type="dxa"/>
            </w:tcMar>
          </w:tcPr>
          <w:p w:rsidR="00000000" w:rsidDel="00000000" w:rsidP="00000000" w:rsidRDefault="00000000" w:rsidRPr="00000000" w14:paraId="00000028">
            <w:pPr>
              <w:rPr/>
            </w:pPr>
            <w:r w:rsidDel="00000000" w:rsidR="00000000" w:rsidRPr="00000000">
              <w:rPr>
                <w:rFonts w:ascii="Arial" w:cs="Arial" w:eastAsia="Arial" w:hAnsi="Arial"/>
                <w:sz w:val="21"/>
                <w:szCs w:val="21"/>
                <w:rtl w:val="0"/>
              </w:rPr>
              <w:t xml:space="preserve">Historical financial statements (or management accounts, if pre-first-year-end).</w:t>
            </w:r>
            <w:r w:rsidDel="00000000" w:rsidR="00000000" w:rsidRPr="00000000">
              <w:rPr>
                <w:rtl w:val="0"/>
              </w:rPr>
            </w:r>
          </w:p>
        </w:tc>
      </w:tr>
      <w:tr>
        <w:trPr>
          <w:cantSplit w:val="0"/>
          <w:tblHeader w:val="0"/>
        </w:trPr>
        <w:tc>
          <w:tcPr>
            <w:tcMar>
              <w:top w:w="100.0" w:type="dxa"/>
              <w:bottom w:w="100.0" w:type="dxa"/>
            </w:tcMar>
          </w:tcPr>
          <w:p w:rsidR="00000000" w:rsidDel="00000000" w:rsidP="00000000" w:rsidRDefault="00000000" w:rsidRPr="00000000" w14:paraId="00000029">
            <w:pPr>
              <w:rPr/>
            </w:pPr>
            <w:r w:rsidDel="00000000" w:rsidR="00000000" w:rsidRPr="00000000">
              <w:rPr>
                <w:rFonts w:ascii="Arial" w:cs="Arial" w:eastAsia="Arial" w:hAnsi="Arial"/>
                <w:color w:val="1c4670"/>
                <w:sz w:val="26"/>
                <w:szCs w:val="26"/>
                <w:rtl w:val="0"/>
              </w:rPr>
              <w:t xml:space="preserve">☐</w:t>
            </w:r>
            <w:r w:rsidDel="00000000" w:rsidR="00000000" w:rsidRPr="00000000">
              <w:rPr>
                <w:rtl w:val="0"/>
              </w:rPr>
            </w:r>
          </w:p>
        </w:tc>
        <w:tc>
          <w:tcPr>
            <w:tcMar>
              <w:top w:w="100.0" w:type="dxa"/>
              <w:bottom w:w="100.0" w:type="dxa"/>
            </w:tcMar>
          </w:tcPr>
          <w:p w:rsidR="00000000" w:rsidDel="00000000" w:rsidP="00000000" w:rsidRDefault="00000000" w:rsidRPr="00000000" w14:paraId="0000002A">
            <w:pPr>
              <w:rPr/>
            </w:pPr>
            <w:r w:rsidDel="00000000" w:rsidR="00000000" w:rsidRPr="00000000">
              <w:rPr>
                <w:rFonts w:ascii="Arial" w:cs="Arial" w:eastAsia="Arial" w:hAnsi="Arial"/>
                <w:sz w:val="21"/>
                <w:szCs w:val="21"/>
                <w:rtl w:val="0"/>
              </w:rPr>
              <w:t xml:space="preserve">Current management accounts and a 12–18 month cash flow forecast.</w:t>
            </w:r>
            <w:r w:rsidDel="00000000" w:rsidR="00000000" w:rsidRPr="00000000">
              <w:rPr>
                <w:rtl w:val="0"/>
              </w:rPr>
            </w:r>
          </w:p>
        </w:tc>
      </w:tr>
      <w:tr>
        <w:trPr>
          <w:cantSplit w:val="0"/>
          <w:tblHeader w:val="0"/>
        </w:trPr>
        <w:tc>
          <w:tcPr>
            <w:tcMar>
              <w:top w:w="100.0" w:type="dxa"/>
              <w:bottom w:w="100.0" w:type="dxa"/>
            </w:tcMar>
          </w:tcPr>
          <w:p w:rsidR="00000000" w:rsidDel="00000000" w:rsidP="00000000" w:rsidRDefault="00000000" w:rsidRPr="00000000" w14:paraId="0000002B">
            <w:pPr>
              <w:rPr/>
            </w:pPr>
            <w:r w:rsidDel="00000000" w:rsidR="00000000" w:rsidRPr="00000000">
              <w:rPr>
                <w:rFonts w:ascii="Arial" w:cs="Arial" w:eastAsia="Arial" w:hAnsi="Arial"/>
                <w:color w:val="1c4670"/>
                <w:sz w:val="26"/>
                <w:szCs w:val="26"/>
                <w:rtl w:val="0"/>
              </w:rPr>
              <w:t xml:space="preserve">☐</w:t>
            </w:r>
            <w:r w:rsidDel="00000000" w:rsidR="00000000" w:rsidRPr="00000000">
              <w:rPr>
                <w:rtl w:val="0"/>
              </w:rPr>
            </w:r>
          </w:p>
        </w:tc>
        <w:tc>
          <w:tcPr>
            <w:tcMar>
              <w:top w:w="100.0" w:type="dxa"/>
              <w:bottom w:w="100.0" w:type="dxa"/>
            </w:tcMar>
          </w:tcPr>
          <w:p w:rsidR="00000000" w:rsidDel="00000000" w:rsidP="00000000" w:rsidRDefault="00000000" w:rsidRPr="00000000" w14:paraId="0000002C">
            <w:pPr>
              <w:rPr/>
            </w:pPr>
            <w:r w:rsidDel="00000000" w:rsidR="00000000" w:rsidRPr="00000000">
              <w:rPr>
                <w:rFonts w:ascii="Arial" w:cs="Arial" w:eastAsia="Arial" w:hAnsi="Arial"/>
                <w:sz w:val="21"/>
                <w:szCs w:val="21"/>
                <w:rtl w:val="0"/>
              </w:rPr>
              <w:t xml:space="preserve">Runway and burn rate summary.</w:t>
            </w:r>
            <w:r w:rsidDel="00000000" w:rsidR="00000000" w:rsidRPr="00000000">
              <w:rPr>
                <w:rtl w:val="0"/>
              </w:rPr>
            </w:r>
          </w:p>
        </w:tc>
        <w:tc>
          <w:tcPr>
            <w:tcMar>
              <w:top w:w="100.0" w:type="dxa"/>
              <w:bottom w:w="100.0" w:type="dxa"/>
            </w:tcMar>
          </w:tcPr>
          <w:p w:rsidR="00000000" w:rsidDel="00000000" w:rsidP="00000000" w:rsidRDefault="00000000" w:rsidRPr="00000000" w14:paraId="0000002D">
            <w:pPr>
              <w:rPr/>
            </w:pPr>
            <w:r w:rsidDel="00000000" w:rsidR="00000000" w:rsidRPr="00000000">
              <w:rPr>
                <w:rFonts w:ascii="Arial" w:cs="Arial" w:eastAsia="Arial" w:hAnsi="Arial"/>
                <w:i w:val="1"/>
                <w:iCs w:val="1"/>
                <w:color w:val="666666"/>
                <w:sz w:val="18"/>
                <w:szCs w:val="18"/>
                <w:rtl w:val="0"/>
              </w:rPr>
              <w:t xml:space="preserve">See our Runway &amp; Burn Rate Tracker.</w:t>
            </w:r>
            <w:r w:rsidDel="00000000" w:rsidR="00000000" w:rsidRPr="00000000">
              <w:rPr>
                <w:rtl w:val="0"/>
              </w:rPr>
            </w:r>
          </w:p>
        </w:tc>
      </w:tr>
      <w:tr>
        <w:trPr>
          <w:cantSplit w:val="0"/>
          <w:tblHeader w:val="0"/>
        </w:trPr>
        <w:tc>
          <w:tcPr>
            <w:tcMar>
              <w:top w:w="100.0" w:type="dxa"/>
              <w:bottom w:w="100.0" w:type="dxa"/>
            </w:tcMar>
          </w:tcPr>
          <w:p w:rsidR="00000000" w:rsidDel="00000000" w:rsidP="00000000" w:rsidRDefault="00000000" w:rsidRPr="00000000" w14:paraId="0000002E">
            <w:pPr>
              <w:rPr/>
            </w:pPr>
            <w:r w:rsidDel="00000000" w:rsidR="00000000" w:rsidRPr="00000000">
              <w:rPr>
                <w:rFonts w:ascii="Arial" w:cs="Arial" w:eastAsia="Arial" w:hAnsi="Arial"/>
                <w:color w:val="1c4670"/>
                <w:sz w:val="26"/>
                <w:szCs w:val="26"/>
                <w:rtl w:val="0"/>
              </w:rPr>
              <w:t xml:space="preserve">☐</w:t>
            </w:r>
            <w:r w:rsidDel="00000000" w:rsidR="00000000" w:rsidRPr="00000000">
              <w:rPr>
                <w:rtl w:val="0"/>
              </w:rPr>
            </w:r>
          </w:p>
        </w:tc>
        <w:tc>
          <w:tcPr>
            <w:tcMar>
              <w:top w:w="100.0" w:type="dxa"/>
              <w:bottom w:w="100.0" w:type="dxa"/>
            </w:tcMar>
          </w:tcPr>
          <w:p w:rsidR="00000000" w:rsidDel="00000000" w:rsidP="00000000" w:rsidRDefault="00000000" w:rsidRPr="00000000" w14:paraId="0000002F">
            <w:pPr>
              <w:rPr/>
            </w:pPr>
            <w:r w:rsidDel="00000000" w:rsidR="00000000" w:rsidRPr="00000000">
              <w:rPr>
                <w:rFonts w:ascii="Arial" w:cs="Arial" w:eastAsia="Arial" w:hAnsi="Arial"/>
                <w:sz w:val="21"/>
                <w:szCs w:val="21"/>
                <w:rtl w:val="0"/>
              </w:rPr>
              <w:t xml:space="preserve">Corporation Tax position, including whether Section 486C Start-Up Relief has been claimed or is expected to apply.</w:t>
            </w:r>
            <w:r w:rsidDel="00000000" w:rsidR="00000000" w:rsidRPr="00000000">
              <w:rPr>
                <w:rtl w:val="0"/>
              </w:rPr>
            </w:r>
          </w:p>
        </w:tc>
        <w:tc>
          <w:tcPr>
            <w:tcMar>
              <w:top w:w="100.0" w:type="dxa"/>
              <w:bottom w:w="100.0" w:type="dxa"/>
            </w:tcMar>
          </w:tcPr>
          <w:p w:rsidR="00000000" w:rsidDel="00000000" w:rsidP="00000000" w:rsidRDefault="00000000" w:rsidRPr="00000000" w14:paraId="00000030">
            <w:pPr>
              <w:rPr/>
            </w:pPr>
            <w:r w:rsidDel="00000000" w:rsidR="00000000" w:rsidRPr="00000000">
              <w:rPr>
                <w:rFonts w:ascii="Arial" w:cs="Arial" w:eastAsia="Arial" w:hAnsi="Arial"/>
                <w:i w:val="1"/>
                <w:iCs w:val="1"/>
                <w:color w:val="666666"/>
                <w:sz w:val="18"/>
                <w:szCs w:val="18"/>
                <w:rtl w:val="0"/>
              </w:rPr>
              <w:t xml:space="preserve">See our Section 486C Eligibility Checker.</w:t>
            </w:r>
            <w:r w:rsidDel="00000000" w:rsidR="00000000" w:rsidRPr="00000000">
              <w:rPr>
                <w:rtl w:val="0"/>
              </w:rPr>
            </w:r>
          </w:p>
        </w:tc>
      </w:tr>
      <w:tr>
        <w:trPr>
          <w:cantSplit w:val="0"/>
          <w:tblHeader w:val="0"/>
        </w:trPr>
        <w:tc>
          <w:tcPr>
            <w:tcMar>
              <w:top w:w="100.0" w:type="dxa"/>
              <w:bottom w:w="100.0" w:type="dxa"/>
            </w:tcMar>
          </w:tcPr>
          <w:p w:rsidR="00000000" w:rsidDel="00000000" w:rsidP="00000000" w:rsidRDefault="00000000" w:rsidRPr="00000000" w14:paraId="00000031">
            <w:pPr>
              <w:rPr/>
            </w:pPr>
            <w:r w:rsidDel="00000000" w:rsidR="00000000" w:rsidRPr="00000000">
              <w:rPr>
                <w:rFonts w:ascii="Arial" w:cs="Arial" w:eastAsia="Arial" w:hAnsi="Arial"/>
                <w:color w:val="1c4670"/>
                <w:sz w:val="26"/>
                <w:szCs w:val="26"/>
                <w:rtl w:val="0"/>
              </w:rPr>
              <w:t xml:space="preserve">☐</w:t>
            </w:r>
            <w:r w:rsidDel="00000000" w:rsidR="00000000" w:rsidRPr="00000000">
              <w:rPr>
                <w:rtl w:val="0"/>
              </w:rPr>
            </w:r>
          </w:p>
        </w:tc>
        <w:tc>
          <w:tcPr>
            <w:tcMar>
              <w:top w:w="100.0" w:type="dxa"/>
              <w:bottom w:w="100.0" w:type="dxa"/>
            </w:tcMar>
          </w:tcPr>
          <w:p w:rsidR="00000000" w:rsidDel="00000000" w:rsidP="00000000" w:rsidRDefault="00000000" w:rsidRPr="00000000" w14:paraId="00000032">
            <w:pPr>
              <w:rPr/>
            </w:pPr>
            <w:r w:rsidDel="00000000" w:rsidR="00000000" w:rsidRPr="00000000">
              <w:rPr>
                <w:rFonts w:ascii="Arial" w:cs="Arial" w:eastAsia="Arial" w:hAnsi="Arial"/>
                <w:sz w:val="21"/>
                <w:szCs w:val="21"/>
                <w:rtl w:val="0"/>
              </w:rPr>
              <w:t xml:space="preserve">VAT registration status and, for e-commerce or multi-jurisdiction businesses, an overview of VAT/OSS obligations.</w:t>
            </w:r>
            <w:r w:rsidDel="00000000" w:rsidR="00000000" w:rsidRPr="00000000">
              <w:rPr>
                <w:rtl w:val="0"/>
              </w:rPr>
            </w:r>
          </w:p>
        </w:tc>
      </w:tr>
    </w:tbl>
    <w:p w:rsidR="00000000" w:rsidDel="00000000" w:rsidP="00000000" w:rsidRDefault="00000000" w:rsidRPr="00000000" w14:paraId="00000033">
      <w:pPr>
        <w:spacing w:after="140" w:lineRule="auto"/>
        <w:rPr/>
      </w:pPr>
      <w:r w:rsidDel="00000000" w:rsidR="00000000" w:rsidRPr="00000000">
        <w:rPr>
          <w:rtl w:val="0"/>
        </w:rPr>
      </w:r>
    </w:p>
    <w:p w:rsidR="00000000" w:rsidDel="00000000" w:rsidP="00000000" w:rsidRDefault="00000000" w:rsidRPr="00000000" w14:paraId="00000034">
      <w:pPr>
        <w:pStyle w:val="Heading2"/>
        <w:spacing w:after="120" w:before="260" w:lineRule="auto"/>
        <w:rPr/>
      </w:pPr>
      <w:r w:rsidDel="00000000" w:rsidR="00000000" w:rsidRPr="00000000">
        <w:rPr>
          <w:rFonts w:ascii="Arial" w:cs="Arial" w:eastAsia="Arial" w:hAnsi="Arial"/>
          <w:b w:val="1"/>
          <w:bCs w:val="1"/>
          <w:color w:val="1c4670"/>
          <w:sz w:val="24"/>
          <w:szCs w:val="24"/>
          <w:rtl w:val="0"/>
        </w:rPr>
        <w:t xml:space="preserve">4. Legal &amp; IP</w:t>
      </w:r>
      <w:r w:rsidDel="00000000" w:rsidR="00000000" w:rsidRPr="00000000">
        <w:rPr>
          <w:rtl w:val="0"/>
        </w:rPr>
      </w:r>
    </w:p>
    <w:tbl>
      <w:tblPr>
        <w:tblStyle w:val="Table5"/>
        <w:tblW w:w="9350.0" w:type="dxa"/>
        <w:jc w:val="left"/>
        <w:tblBorders>
          <w:top w:color="000000" w:space="0" w:sz="0" w:val="nil"/>
          <w:left w:color="000000" w:space="0" w:sz="0" w:val="nil"/>
          <w:bottom w:color="dddddd" w:space="0" w:sz="4" w:val="single"/>
          <w:right w:color="000000" w:space="0" w:sz="0" w:val="nil"/>
          <w:insideH w:color="000000" w:space="0" w:sz="0" w:val="nil"/>
          <w:insideV w:color="000000" w:space="0" w:sz="0" w:val="nil"/>
        </w:tblBorders>
        <w:tblLayout w:type="fixed"/>
        <w:tblLook w:val="0000"/>
      </w:tblPr>
      <w:tblGrid>
        <w:gridCol w:w="500"/>
        <w:gridCol w:w="8850"/>
        <w:tblGridChange w:id="0">
          <w:tblGrid>
            <w:gridCol w:w="500"/>
            <w:gridCol w:w="8850"/>
          </w:tblGrid>
        </w:tblGridChange>
      </w:tblGrid>
      <w:tr>
        <w:trPr>
          <w:cantSplit w:val="0"/>
          <w:tblHeader w:val="0"/>
        </w:trPr>
        <w:tc>
          <w:tcPr>
            <w:tcMar>
              <w:top w:w="100.0" w:type="dxa"/>
              <w:bottom w:w="100.0" w:type="dxa"/>
            </w:tcMar>
          </w:tcPr>
          <w:p w:rsidR="00000000" w:rsidDel="00000000" w:rsidP="00000000" w:rsidRDefault="00000000" w:rsidRPr="00000000" w14:paraId="00000035">
            <w:pPr>
              <w:rPr/>
            </w:pPr>
            <w:r w:rsidDel="00000000" w:rsidR="00000000" w:rsidRPr="00000000">
              <w:rPr>
                <w:rFonts w:ascii="Arial" w:cs="Arial" w:eastAsia="Arial" w:hAnsi="Arial"/>
                <w:color w:val="1c4670"/>
                <w:sz w:val="26"/>
                <w:szCs w:val="26"/>
                <w:rtl w:val="0"/>
              </w:rPr>
              <w:t xml:space="preserve">☐</w:t>
            </w:r>
            <w:r w:rsidDel="00000000" w:rsidR="00000000" w:rsidRPr="00000000">
              <w:rPr>
                <w:rtl w:val="0"/>
              </w:rPr>
            </w:r>
          </w:p>
        </w:tc>
        <w:tc>
          <w:tcPr>
            <w:tcMar>
              <w:top w:w="100.0" w:type="dxa"/>
              <w:bottom w:w="100.0" w:type="dxa"/>
            </w:tcMar>
          </w:tcPr>
          <w:p w:rsidR="00000000" w:rsidDel="00000000" w:rsidP="00000000" w:rsidRDefault="00000000" w:rsidRPr="00000000" w14:paraId="00000036">
            <w:pPr>
              <w:rPr/>
            </w:pPr>
            <w:r w:rsidDel="00000000" w:rsidR="00000000" w:rsidRPr="00000000">
              <w:rPr>
                <w:rFonts w:ascii="Arial" w:cs="Arial" w:eastAsia="Arial" w:hAnsi="Arial"/>
                <w:sz w:val="21"/>
                <w:szCs w:val="21"/>
                <w:rtl w:val="0"/>
              </w:rPr>
              <w:t xml:space="preserve">Founder and employee IP assignment agreements — confirming all IP created for the business belongs to the company, not an individual.</w:t>
            </w:r>
            <w:r w:rsidDel="00000000" w:rsidR="00000000" w:rsidRPr="00000000">
              <w:rPr>
                <w:rtl w:val="0"/>
              </w:rPr>
            </w:r>
          </w:p>
        </w:tc>
      </w:tr>
      <w:tr>
        <w:trPr>
          <w:cantSplit w:val="0"/>
          <w:tblHeader w:val="0"/>
        </w:trPr>
        <w:tc>
          <w:tcPr>
            <w:tcMar>
              <w:top w:w="100.0" w:type="dxa"/>
              <w:bottom w:w="100.0" w:type="dxa"/>
            </w:tcMar>
          </w:tcPr>
          <w:p w:rsidR="00000000" w:rsidDel="00000000" w:rsidP="00000000" w:rsidRDefault="00000000" w:rsidRPr="00000000" w14:paraId="00000037">
            <w:pPr>
              <w:rPr/>
            </w:pPr>
            <w:r w:rsidDel="00000000" w:rsidR="00000000" w:rsidRPr="00000000">
              <w:rPr>
                <w:rFonts w:ascii="Arial" w:cs="Arial" w:eastAsia="Arial" w:hAnsi="Arial"/>
                <w:color w:val="1c4670"/>
                <w:sz w:val="26"/>
                <w:szCs w:val="26"/>
                <w:rtl w:val="0"/>
              </w:rPr>
              <w:t xml:space="preserve">☐</w:t>
            </w:r>
            <w:r w:rsidDel="00000000" w:rsidR="00000000" w:rsidRPr="00000000">
              <w:rPr>
                <w:rtl w:val="0"/>
              </w:rPr>
            </w:r>
          </w:p>
        </w:tc>
        <w:tc>
          <w:tcPr>
            <w:tcMar>
              <w:top w:w="100.0" w:type="dxa"/>
              <w:bottom w:w="100.0" w:type="dxa"/>
            </w:tcMar>
          </w:tcPr>
          <w:p w:rsidR="00000000" w:rsidDel="00000000" w:rsidP="00000000" w:rsidRDefault="00000000" w:rsidRPr="00000000" w14:paraId="00000038">
            <w:pPr>
              <w:rPr/>
            </w:pPr>
            <w:r w:rsidDel="00000000" w:rsidR="00000000" w:rsidRPr="00000000">
              <w:rPr>
                <w:rFonts w:ascii="Arial" w:cs="Arial" w:eastAsia="Arial" w:hAnsi="Arial"/>
                <w:sz w:val="21"/>
                <w:szCs w:val="21"/>
                <w:rtl w:val="0"/>
              </w:rPr>
              <w:t xml:space="preserve">Any trademarks, patents or registered designs, and their current status.</w:t>
            </w:r>
            <w:r w:rsidDel="00000000" w:rsidR="00000000" w:rsidRPr="00000000">
              <w:rPr>
                <w:rtl w:val="0"/>
              </w:rPr>
            </w:r>
          </w:p>
        </w:tc>
      </w:tr>
      <w:tr>
        <w:trPr>
          <w:cantSplit w:val="0"/>
          <w:tblHeader w:val="0"/>
        </w:trPr>
        <w:tc>
          <w:tcPr>
            <w:tcMar>
              <w:top w:w="100.0" w:type="dxa"/>
              <w:bottom w:w="100.0" w:type="dxa"/>
            </w:tcMar>
          </w:tcPr>
          <w:p w:rsidR="00000000" w:rsidDel="00000000" w:rsidP="00000000" w:rsidRDefault="00000000" w:rsidRPr="00000000" w14:paraId="00000039">
            <w:pPr>
              <w:rPr/>
            </w:pPr>
            <w:r w:rsidDel="00000000" w:rsidR="00000000" w:rsidRPr="00000000">
              <w:rPr>
                <w:rFonts w:ascii="Arial" w:cs="Arial" w:eastAsia="Arial" w:hAnsi="Arial"/>
                <w:color w:val="1c4670"/>
                <w:sz w:val="26"/>
                <w:szCs w:val="26"/>
                <w:rtl w:val="0"/>
              </w:rPr>
              <w:t xml:space="preserve">☐</w:t>
            </w:r>
            <w:r w:rsidDel="00000000" w:rsidR="00000000" w:rsidRPr="00000000">
              <w:rPr>
                <w:rtl w:val="0"/>
              </w:rPr>
            </w:r>
          </w:p>
        </w:tc>
        <w:tc>
          <w:tcPr>
            <w:tcMar>
              <w:top w:w="100.0" w:type="dxa"/>
              <w:bottom w:w="100.0" w:type="dxa"/>
            </w:tcMar>
          </w:tcPr>
          <w:p w:rsidR="00000000" w:rsidDel="00000000" w:rsidP="00000000" w:rsidRDefault="00000000" w:rsidRPr="00000000" w14:paraId="0000003A">
            <w:pPr>
              <w:rPr/>
            </w:pPr>
            <w:r w:rsidDel="00000000" w:rsidR="00000000" w:rsidRPr="00000000">
              <w:rPr>
                <w:rFonts w:ascii="Arial" w:cs="Arial" w:eastAsia="Arial" w:hAnsi="Arial"/>
                <w:sz w:val="21"/>
                <w:szCs w:val="21"/>
                <w:rtl w:val="0"/>
              </w:rPr>
              <w:t xml:space="preserve">Key customer and supplier contracts.</w:t>
            </w:r>
            <w:r w:rsidDel="00000000" w:rsidR="00000000" w:rsidRPr="00000000">
              <w:rPr>
                <w:rtl w:val="0"/>
              </w:rPr>
            </w:r>
          </w:p>
        </w:tc>
      </w:tr>
      <w:tr>
        <w:trPr>
          <w:cantSplit w:val="0"/>
          <w:tblHeader w:val="0"/>
        </w:trPr>
        <w:tc>
          <w:tcPr>
            <w:tcMar>
              <w:top w:w="100.0" w:type="dxa"/>
              <w:bottom w:w="100.0" w:type="dxa"/>
            </w:tcMar>
          </w:tcPr>
          <w:p w:rsidR="00000000" w:rsidDel="00000000" w:rsidP="00000000" w:rsidRDefault="00000000" w:rsidRPr="00000000" w14:paraId="0000003B">
            <w:pPr>
              <w:rPr/>
            </w:pPr>
            <w:r w:rsidDel="00000000" w:rsidR="00000000" w:rsidRPr="00000000">
              <w:rPr>
                <w:rFonts w:ascii="Arial" w:cs="Arial" w:eastAsia="Arial" w:hAnsi="Arial"/>
                <w:color w:val="1c4670"/>
                <w:sz w:val="26"/>
                <w:szCs w:val="26"/>
                <w:rtl w:val="0"/>
              </w:rPr>
              <w:t xml:space="preserve">☐</w:t>
            </w:r>
            <w:r w:rsidDel="00000000" w:rsidR="00000000" w:rsidRPr="00000000">
              <w:rPr>
                <w:rtl w:val="0"/>
              </w:rPr>
            </w:r>
          </w:p>
        </w:tc>
        <w:tc>
          <w:tcPr>
            <w:tcMar>
              <w:top w:w="100.0" w:type="dxa"/>
              <w:bottom w:w="100.0" w:type="dxa"/>
            </w:tcMar>
          </w:tcPr>
          <w:p w:rsidR="00000000" w:rsidDel="00000000" w:rsidP="00000000" w:rsidRDefault="00000000" w:rsidRPr="00000000" w14:paraId="0000003C">
            <w:pPr>
              <w:rPr/>
            </w:pPr>
            <w:r w:rsidDel="00000000" w:rsidR="00000000" w:rsidRPr="00000000">
              <w:rPr>
                <w:rFonts w:ascii="Arial" w:cs="Arial" w:eastAsia="Arial" w:hAnsi="Arial"/>
                <w:sz w:val="21"/>
                <w:szCs w:val="21"/>
                <w:rtl w:val="0"/>
              </w:rPr>
              <w:t xml:space="preserve">Employment contracts and the written statements of terms for all staff.</w:t>
            </w:r>
            <w:r w:rsidDel="00000000" w:rsidR="00000000" w:rsidRPr="00000000">
              <w:rPr>
                <w:rtl w:val="0"/>
              </w:rPr>
            </w:r>
          </w:p>
        </w:tc>
      </w:tr>
      <w:tr>
        <w:trPr>
          <w:cantSplit w:val="0"/>
          <w:tblHeader w:val="0"/>
        </w:trPr>
        <w:tc>
          <w:tcPr>
            <w:tcMar>
              <w:top w:w="100.0" w:type="dxa"/>
              <w:bottom w:w="100.0" w:type="dxa"/>
            </w:tcMar>
          </w:tcPr>
          <w:p w:rsidR="00000000" w:rsidDel="00000000" w:rsidP="00000000" w:rsidRDefault="00000000" w:rsidRPr="00000000" w14:paraId="0000003D">
            <w:pPr>
              <w:rPr/>
            </w:pPr>
            <w:r w:rsidDel="00000000" w:rsidR="00000000" w:rsidRPr="00000000">
              <w:rPr>
                <w:rFonts w:ascii="Arial" w:cs="Arial" w:eastAsia="Arial" w:hAnsi="Arial"/>
                <w:color w:val="1c4670"/>
                <w:sz w:val="26"/>
                <w:szCs w:val="26"/>
                <w:rtl w:val="0"/>
              </w:rPr>
              <w:t xml:space="preserve">☐</w:t>
            </w:r>
            <w:r w:rsidDel="00000000" w:rsidR="00000000" w:rsidRPr="00000000">
              <w:rPr>
                <w:rtl w:val="0"/>
              </w:rPr>
            </w:r>
          </w:p>
        </w:tc>
        <w:tc>
          <w:tcPr>
            <w:tcMar>
              <w:top w:w="100.0" w:type="dxa"/>
              <w:bottom w:w="100.0" w:type="dxa"/>
            </w:tcMar>
          </w:tcPr>
          <w:p w:rsidR="00000000" w:rsidDel="00000000" w:rsidP="00000000" w:rsidRDefault="00000000" w:rsidRPr="00000000" w14:paraId="0000003E">
            <w:pPr>
              <w:rPr/>
            </w:pPr>
            <w:r w:rsidDel="00000000" w:rsidR="00000000" w:rsidRPr="00000000">
              <w:rPr>
                <w:rFonts w:ascii="Arial" w:cs="Arial" w:eastAsia="Arial" w:hAnsi="Arial"/>
                <w:sz w:val="21"/>
                <w:szCs w:val="21"/>
                <w:rtl w:val="0"/>
              </w:rPr>
              <w:t xml:space="preserve">Any material litigation, disputes, or regulatory correspondence, past or ongoing.</w:t>
            </w:r>
            <w:r w:rsidDel="00000000" w:rsidR="00000000" w:rsidRPr="00000000">
              <w:rPr>
                <w:rtl w:val="0"/>
              </w:rPr>
            </w:r>
          </w:p>
        </w:tc>
      </w:tr>
    </w:tbl>
    <w:p w:rsidR="00000000" w:rsidDel="00000000" w:rsidP="00000000" w:rsidRDefault="00000000" w:rsidRPr="00000000" w14:paraId="0000003F">
      <w:pPr>
        <w:spacing w:after="140" w:lineRule="auto"/>
        <w:rPr/>
      </w:pPr>
      <w:r w:rsidDel="00000000" w:rsidR="00000000" w:rsidRPr="00000000">
        <w:rPr>
          <w:rtl w:val="0"/>
        </w:rPr>
      </w:r>
    </w:p>
    <w:p w:rsidR="00000000" w:rsidDel="00000000" w:rsidP="00000000" w:rsidRDefault="00000000" w:rsidRPr="00000000" w14:paraId="00000040">
      <w:pPr>
        <w:pStyle w:val="Heading2"/>
        <w:spacing w:after="120" w:before="260" w:lineRule="auto"/>
        <w:rPr/>
      </w:pPr>
      <w:r w:rsidDel="00000000" w:rsidR="00000000" w:rsidRPr="00000000">
        <w:rPr>
          <w:rFonts w:ascii="Arial" w:cs="Arial" w:eastAsia="Arial" w:hAnsi="Arial"/>
          <w:b w:val="1"/>
          <w:bCs w:val="1"/>
          <w:color w:val="1c4670"/>
          <w:sz w:val="24"/>
          <w:szCs w:val="24"/>
          <w:rtl w:val="0"/>
        </w:rPr>
        <w:t xml:space="preserve">5. Commercial &amp; Team</w:t>
      </w:r>
      <w:r w:rsidDel="00000000" w:rsidR="00000000" w:rsidRPr="00000000">
        <w:rPr>
          <w:rtl w:val="0"/>
        </w:rPr>
      </w:r>
    </w:p>
    <w:tbl>
      <w:tblPr>
        <w:tblStyle w:val="Table6"/>
        <w:tblW w:w="9350.0" w:type="dxa"/>
        <w:jc w:val="left"/>
        <w:tblBorders>
          <w:top w:color="000000" w:space="0" w:sz="0" w:val="nil"/>
          <w:left w:color="000000" w:space="0" w:sz="0" w:val="nil"/>
          <w:bottom w:color="dddddd" w:space="0" w:sz="4" w:val="single"/>
          <w:right w:color="000000" w:space="0" w:sz="0" w:val="nil"/>
          <w:insideH w:color="000000" w:space="0" w:sz="0" w:val="nil"/>
          <w:insideV w:color="000000" w:space="0" w:sz="0" w:val="nil"/>
        </w:tblBorders>
        <w:tblLayout w:type="fixed"/>
        <w:tblLook w:val="0000"/>
      </w:tblPr>
      <w:tblGrid>
        <w:gridCol w:w="500"/>
        <w:gridCol w:w="8850"/>
        <w:tblGridChange w:id="0">
          <w:tblGrid>
            <w:gridCol w:w="500"/>
            <w:gridCol w:w="8850"/>
          </w:tblGrid>
        </w:tblGridChange>
      </w:tblGrid>
      <w:tr>
        <w:trPr>
          <w:cantSplit w:val="0"/>
          <w:tblHeader w:val="0"/>
        </w:trPr>
        <w:tc>
          <w:tcPr>
            <w:tcMar>
              <w:top w:w="100.0" w:type="dxa"/>
              <w:bottom w:w="100.0" w:type="dxa"/>
            </w:tcMar>
          </w:tcPr>
          <w:p w:rsidR="00000000" w:rsidDel="00000000" w:rsidP="00000000" w:rsidRDefault="00000000" w:rsidRPr="00000000" w14:paraId="00000041">
            <w:pPr>
              <w:rPr/>
            </w:pPr>
            <w:r w:rsidDel="00000000" w:rsidR="00000000" w:rsidRPr="00000000">
              <w:rPr>
                <w:rFonts w:ascii="Arial" w:cs="Arial" w:eastAsia="Arial" w:hAnsi="Arial"/>
                <w:color w:val="1c4670"/>
                <w:sz w:val="26"/>
                <w:szCs w:val="26"/>
                <w:rtl w:val="0"/>
              </w:rPr>
              <w:t xml:space="preserve">☐</w:t>
            </w:r>
            <w:r w:rsidDel="00000000" w:rsidR="00000000" w:rsidRPr="00000000">
              <w:rPr>
                <w:rtl w:val="0"/>
              </w:rPr>
            </w:r>
          </w:p>
        </w:tc>
        <w:tc>
          <w:tcPr>
            <w:tcMar>
              <w:top w:w="100.0" w:type="dxa"/>
              <w:bottom w:w="100.0" w:type="dxa"/>
            </w:tcMar>
          </w:tcPr>
          <w:p w:rsidR="00000000" w:rsidDel="00000000" w:rsidP="00000000" w:rsidRDefault="00000000" w:rsidRPr="00000000" w14:paraId="00000042">
            <w:pPr>
              <w:rPr/>
            </w:pPr>
            <w:r w:rsidDel="00000000" w:rsidR="00000000" w:rsidRPr="00000000">
              <w:rPr>
                <w:rFonts w:ascii="Arial" w:cs="Arial" w:eastAsia="Arial" w:hAnsi="Arial"/>
                <w:sz w:val="21"/>
                <w:szCs w:val="21"/>
                <w:rtl w:val="0"/>
              </w:rPr>
              <w:t xml:space="preserve">Pitch deck and financial model.</w:t>
            </w:r>
            <w:r w:rsidDel="00000000" w:rsidR="00000000" w:rsidRPr="00000000">
              <w:rPr>
                <w:rtl w:val="0"/>
              </w:rPr>
            </w:r>
          </w:p>
        </w:tc>
      </w:tr>
      <w:tr>
        <w:trPr>
          <w:cantSplit w:val="0"/>
          <w:tblHeader w:val="0"/>
        </w:trPr>
        <w:tc>
          <w:tcPr>
            <w:tcMar>
              <w:top w:w="100.0" w:type="dxa"/>
              <w:bottom w:w="100.0" w:type="dxa"/>
            </w:tcMar>
          </w:tcPr>
          <w:p w:rsidR="00000000" w:rsidDel="00000000" w:rsidP="00000000" w:rsidRDefault="00000000" w:rsidRPr="00000000" w14:paraId="00000043">
            <w:pPr>
              <w:rPr/>
            </w:pPr>
            <w:r w:rsidDel="00000000" w:rsidR="00000000" w:rsidRPr="00000000">
              <w:rPr>
                <w:rFonts w:ascii="Arial" w:cs="Arial" w:eastAsia="Arial" w:hAnsi="Arial"/>
                <w:color w:val="1c4670"/>
                <w:sz w:val="26"/>
                <w:szCs w:val="26"/>
                <w:rtl w:val="0"/>
              </w:rPr>
              <w:t xml:space="preserve">☐</w:t>
            </w:r>
            <w:r w:rsidDel="00000000" w:rsidR="00000000" w:rsidRPr="00000000">
              <w:rPr>
                <w:rtl w:val="0"/>
              </w:rPr>
            </w:r>
          </w:p>
        </w:tc>
        <w:tc>
          <w:tcPr>
            <w:tcMar>
              <w:top w:w="100.0" w:type="dxa"/>
              <w:bottom w:w="100.0" w:type="dxa"/>
            </w:tcMar>
          </w:tcPr>
          <w:p w:rsidR="00000000" w:rsidDel="00000000" w:rsidP="00000000" w:rsidRDefault="00000000" w:rsidRPr="00000000" w14:paraId="00000044">
            <w:pPr>
              <w:rPr/>
            </w:pPr>
            <w:r w:rsidDel="00000000" w:rsidR="00000000" w:rsidRPr="00000000">
              <w:rPr>
                <w:rFonts w:ascii="Arial" w:cs="Arial" w:eastAsia="Arial" w:hAnsi="Arial"/>
                <w:sz w:val="21"/>
                <w:szCs w:val="21"/>
                <w:rtl w:val="0"/>
              </w:rPr>
              <w:t xml:space="preserve">Organisation chart and key hire plan for the round.</w:t>
            </w:r>
            <w:r w:rsidDel="00000000" w:rsidR="00000000" w:rsidRPr="00000000">
              <w:rPr>
                <w:rtl w:val="0"/>
              </w:rPr>
            </w:r>
          </w:p>
        </w:tc>
      </w:tr>
      <w:tr>
        <w:trPr>
          <w:cantSplit w:val="0"/>
          <w:tblHeader w:val="0"/>
        </w:trPr>
        <w:tc>
          <w:tcPr>
            <w:tcMar>
              <w:top w:w="100.0" w:type="dxa"/>
              <w:bottom w:w="100.0" w:type="dxa"/>
            </w:tcMar>
          </w:tcPr>
          <w:p w:rsidR="00000000" w:rsidDel="00000000" w:rsidP="00000000" w:rsidRDefault="00000000" w:rsidRPr="00000000" w14:paraId="00000045">
            <w:pPr>
              <w:rPr/>
            </w:pPr>
            <w:r w:rsidDel="00000000" w:rsidR="00000000" w:rsidRPr="00000000">
              <w:rPr>
                <w:rFonts w:ascii="Arial" w:cs="Arial" w:eastAsia="Arial" w:hAnsi="Arial"/>
                <w:color w:val="1c4670"/>
                <w:sz w:val="26"/>
                <w:szCs w:val="26"/>
                <w:rtl w:val="0"/>
              </w:rPr>
              <w:t xml:space="preserve">☐</w:t>
            </w:r>
            <w:r w:rsidDel="00000000" w:rsidR="00000000" w:rsidRPr="00000000">
              <w:rPr>
                <w:rtl w:val="0"/>
              </w:rPr>
            </w:r>
          </w:p>
        </w:tc>
        <w:tc>
          <w:tcPr>
            <w:tcMar>
              <w:top w:w="100.0" w:type="dxa"/>
              <w:bottom w:w="100.0" w:type="dxa"/>
            </w:tcMar>
          </w:tcPr>
          <w:p w:rsidR="00000000" w:rsidDel="00000000" w:rsidP="00000000" w:rsidRDefault="00000000" w:rsidRPr="00000000" w14:paraId="00000046">
            <w:pPr>
              <w:rPr/>
            </w:pPr>
            <w:r w:rsidDel="00000000" w:rsidR="00000000" w:rsidRPr="00000000">
              <w:rPr>
                <w:rFonts w:ascii="Arial" w:cs="Arial" w:eastAsia="Arial" w:hAnsi="Arial"/>
                <w:sz w:val="21"/>
                <w:szCs w:val="21"/>
                <w:rtl w:val="0"/>
              </w:rPr>
              <w:t xml:space="preserve">Customer or user metrics relevant to the business (retention, growth, unit economics).</w:t>
            </w:r>
            <w:r w:rsidDel="00000000" w:rsidR="00000000" w:rsidRPr="00000000">
              <w:rPr>
                <w:rtl w:val="0"/>
              </w:rPr>
            </w:r>
          </w:p>
        </w:tc>
      </w:tr>
      <w:tr>
        <w:trPr>
          <w:cantSplit w:val="0"/>
          <w:tblHeader w:val="0"/>
        </w:trPr>
        <w:tc>
          <w:tcPr>
            <w:tcMar>
              <w:top w:w="100.0" w:type="dxa"/>
              <w:bottom w:w="100.0" w:type="dxa"/>
            </w:tcMar>
          </w:tcPr>
          <w:p w:rsidR="00000000" w:rsidDel="00000000" w:rsidP="00000000" w:rsidRDefault="00000000" w:rsidRPr="00000000" w14:paraId="00000047">
            <w:pPr>
              <w:rPr/>
            </w:pPr>
            <w:r w:rsidDel="00000000" w:rsidR="00000000" w:rsidRPr="00000000">
              <w:rPr>
                <w:rFonts w:ascii="Arial" w:cs="Arial" w:eastAsia="Arial" w:hAnsi="Arial"/>
                <w:color w:val="1c4670"/>
                <w:sz w:val="26"/>
                <w:szCs w:val="26"/>
                <w:rtl w:val="0"/>
              </w:rPr>
              <w:t xml:space="preserve">☐</w:t>
            </w:r>
            <w:r w:rsidDel="00000000" w:rsidR="00000000" w:rsidRPr="00000000">
              <w:rPr>
                <w:rtl w:val="0"/>
              </w:rPr>
            </w:r>
          </w:p>
        </w:tc>
        <w:tc>
          <w:tcPr>
            <w:tcMar>
              <w:top w:w="100.0" w:type="dxa"/>
              <w:bottom w:w="100.0" w:type="dxa"/>
            </w:tcMar>
          </w:tcPr>
          <w:p w:rsidR="00000000" w:rsidDel="00000000" w:rsidP="00000000" w:rsidRDefault="00000000" w:rsidRPr="00000000" w14:paraId="00000048">
            <w:pPr>
              <w:rPr/>
            </w:pPr>
            <w:r w:rsidDel="00000000" w:rsidR="00000000" w:rsidRPr="00000000">
              <w:rPr>
                <w:rFonts w:ascii="Arial" w:cs="Arial" w:eastAsia="Arial" w:hAnsi="Arial"/>
                <w:sz w:val="21"/>
                <w:szCs w:val="21"/>
                <w:rtl w:val="0"/>
              </w:rPr>
              <w:t xml:space="preserve">Key risks and how they’re being managed — investors read this more carefully than the upside slide.</w:t>
            </w:r>
            <w:r w:rsidDel="00000000" w:rsidR="00000000" w:rsidRPr="00000000">
              <w:rPr>
                <w:rtl w:val="0"/>
              </w:rPr>
            </w:r>
          </w:p>
        </w:tc>
      </w:tr>
    </w:tbl>
    <w:p w:rsidR="00000000" w:rsidDel="00000000" w:rsidP="00000000" w:rsidRDefault="00000000" w:rsidRPr="00000000" w14:paraId="00000049">
      <w:pPr>
        <w:spacing w:after="200" w:lineRule="auto"/>
        <w:rPr/>
      </w:pPr>
      <w:r w:rsidDel="00000000" w:rsidR="00000000" w:rsidRPr="00000000">
        <w:rPr>
          <w:rtl w:val="0"/>
        </w:rPr>
      </w:r>
    </w:p>
    <w:tbl>
      <w:tblPr>
        <w:tblStyle w:val="Table7"/>
        <w:tblW w:w="9350.0" w:type="dxa"/>
        <w:jc w:val="left"/>
        <w:tblBorders>
          <w:top w:color="278ab0" w:space="0" w:sz="6" w:val="single"/>
          <w:left w:color="278ab0" w:space="0" w:sz="24" w:val="single"/>
          <w:bottom w:color="278ab0" w:space="0" w:sz="6" w:val="single"/>
          <w:right w:color="278ab0" w:space="0" w:sz="6" w:val="single"/>
          <w:insideH w:color="000000" w:space="0" w:sz="4" w:val="single"/>
          <w:insideV w:color="000000" w:space="0" w:sz="4" w:val="single"/>
        </w:tblBorders>
        <w:tblLayout w:type="fixed"/>
        <w:tblLook w:val="0000"/>
      </w:tblPr>
      <w:tblGrid>
        <w:gridCol w:w="9350"/>
        <w:tblGridChange w:id="0">
          <w:tblGrid>
            <w:gridCol w:w="9350"/>
          </w:tblGrid>
        </w:tblGridChange>
      </w:tblGrid>
      <w:tr>
        <w:trPr>
          <w:cantSplit w:val="0"/>
          <w:tblHeader w:val="0"/>
        </w:trPr>
        <w:tc>
          <w:tcPr>
            <w:shd w:fill="f2fbf7" w:val="clear"/>
            <w:tcMar>
              <w:top w:w="140.0" w:type="dxa"/>
              <w:left w:w="200.0" w:type="dxa"/>
              <w:bottom w:w="140.0" w:type="dxa"/>
              <w:right w:w="200.0" w:type="dxa"/>
            </w:tcMar>
          </w:tcPr>
          <w:p w:rsidR="00000000" w:rsidDel="00000000" w:rsidP="00000000" w:rsidRDefault="00000000" w:rsidRPr="00000000" w14:paraId="0000004A">
            <w:pPr>
              <w:spacing w:after="60" w:lineRule="auto"/>
              <w:rPr/>
            </w:pPr>
            <w:r w:rsidDel="00000000" w:rsidR="00000000" w:rsidRPr="00000000">
              <w:rPr>
                <w:rFonts w:ascii="Arial" w:cs="Arial" w:eastAsia="Arial" w:hAnsi="Arial"/>
                <w:b w:val="1"/>
                <w:bCs w:val="1"/>
                <w:color w:val="1c4670"/>
                <w:sz w:val="20"/>
                <w:szCs w:val="20"/>
                <w:rtl w:val="0"/>
              </w:rPr>
              <w:t xml:space="preserve">A messy data room is a red flag, not a formality</w:t>
            </w:r>
            <w:r w:rsidDel="00000000" w:rsidR="00000000" w:rsidRPr="00000000">
              <w:rPr>
                <w:rtl w:val="0"/>
              </w:rPr>
            </w:r>
          </w:p>
          <w:p w:rsidR="00000000" w:rsidDel="00000000" w:rsidP="00000000" w:rsidRDefault="00000000" w:rsidRPr="00000000" w14:paraId="0000004B">
            <w:pPr>
              <w:rPr/>
            </w:pPr>
            <w:r w:rsidDel="00000000" w:rsidR="00000000" w:rsidRPr="00000000">
              <w:rPr>
                <w:rFonts w:ascii="Arial" w:cs="Arial" w:eastAsia="Arial" w:hAnsi="Arial"/>
                <w:color w:val="333333"/>
                <w:sz w:val="20"/>
                <w:szCs w:val="20"/>
                <w:rtl w:val="0"/>
              </w:rPr>
              <w:t xml:space="preserve">Sophisticated investors read organisational discipline into how a data room is put together. Missing board minutes, an out-of-date cap table, or a filing that doesn’t match what’s on the CRO register raises questions about what else might be loosely tracked — often more damaging to a round than the underlying issue itself.</w:t>
            </w:r>
            <w:r w:rsidDel="00000000" w:rsidR="00000000" w:rsidRPr="00000000">
              <w:rPr>
                <w:rtl w:val="0"/>
              </w:rPr>
            </w:r>
          </w:p>
        </w:tc>
      </w:tr>
    </w:tbl>
    <w:p w:rsidR="00000000" w:rsidDel="00000000" w:rsidP="00000000" w:rsidRDefault="00000000" w:rsidRPr="00000000" w14:paraId="0000004C">
      <w:pPr>
        <w:spacing w:after="160" w:lineRule="auto"/>
        <w:rPr/>
      </w:pPr>
      <w:r w:rsidDel="00000000" w:rsidR="00000000" w:rsidRPr="00000000">
        <w:rPr>
          <w:rtl w:val="0"/>
        </w:rPr>
      </w:r>
    </w:p>
    <w:tbl>
      <w:tblPr>
        <w:tblStyle w:val="Table8"/>
        <w:tblW w:w="9350.0" w:type="dxa"/>
        <w:jc w:val="left"/>
        <w:tblBorders>
          <w:top w:color="1c4670" w:space="0" w:sz="6" w:val="single"/>
          <w:left w:color="1c4670" w:space="0" w:sz="6" w:val="single"/>
          <w:bottom w:color="1c4670" w:space="0" w:sz="6" w:val="single"/>
          <w:right w:color="1c4670" w:space="0" w:sz="6" w:val="single"/>
          <w:insideH w:color="000000" w:space="0" w:sz="4" w:val="single"/>
          <w:insideV w:color="000000" w:space="0" w:sz="4" w:val="single"/>
        </w:tblBorders>
        <w:tblLayout w:type="fixed"/>
        <w:tblLook w:val="0000"/>
      </w:tblPr>
      <w:tblGrid>
        <w:gridCol w:w="9350"/>
        <w:tblGridChange w:id="0">
          <w:tblGrid>
            <w:gridCol w:w="9350"/>
          </w:tblGrid>
        </w:tblGridChange>
      </w:tblGrid>
      <w:tr>
        <w:trPr>
          <w:cantSplit w:val="0"/>
          <w:tblHeader w:val="0"/>
        </w:trPr>
        <w:tc>
          <w:tcPr>
            <w:shd w:fill="1c4670" w:val="clear"/>
            <w:tcMar>
              <w:top w:w="220.0" w:type="dxa"/>
              <w:left w:w="260.0" w:type="dxa"/>
              <w:bottom w:w="220.0" w:type="dxa"/>
              <w:right w:w="260.0" w:type="dxa"/>
            </w:tcMar>
          </w:tcPr>
          <w:p w:rsidR="00000000" w:rsidDel="00000000" w:rsidP="00000000" w:rsidRDefault="00000000" w:rsidRPr="00000000" w14:paraId="0000004D">
            <w:pPr>
              <w:spacing w:after="80" w:lineRule="auto"/>
              <w:rPr/>
            </w:pPr>
            <w:r w:rsidDel="00000000" w:rsidR="00000000" w:rsidRPr="00000000">
              <w:rPr>
                <w:rFonts w:ascii="Arial" w:cs="Arial" w:eastAsia="Arial" w:hAnsi="Arial"/>
                <w:b w:val="1"/>
                <w:bCs w:val="1"/>
                <w:color w:val="ffffff"/>
                <w:sz w:val="24"/>
                <w:szCs w:val="24"/>
                <w:rtl w:val="0"/>
              </w:rPr>
              <w:t xml:space="preserve">Getting ready for a raise?</w:t>
            </w:r>
            <w:r w:rsidDel="00000000" w:rsidR="00000000" w:rsidRPr="00000000">
              <w:rPr>
                <w:rtl w:val="0"/>
              </w:rPr>
            </w:r>
          </w:p>
          <w:p w:rsidR="00000000" w:rsidDel="00000000" w:rsidP="00000000" w:rsidRDefault="00000000" w:rsidRPr="00000000" w14:paraId="0000004E">
            <w:pPr>
              <w:spacing w:after="140" w:lineRule="auto"/>
              <w:rPr/>
            </w:pPr>
            <w:r w:rsidDel="00000000" w:rsidR="00000000" w:rsidRPr="00000000">
              <w:rPr>
                <w:rFonts w:ascii="Arial" w:cs="Arial" w:eastAsia="Arial" w:hAnsi="Arial"/>
                <w:color w:val="e8eef3"/>
                <w:sz w:val="20"/>
                <w:szCs w:val="20"/>
                <w:rtl w:val="0"/>
              </w:rPr>
              <w:t xml:space="preserve">Forti Ltd. helps Irish startups get investor-ready — tidying cap tables, statutory registers and financials before diligence starts, not during it. Get in touch before you start pitching.</w:t>
            </w:r>
            <w:r w:rsidDel="00000000" w:rsidR="00000000" w:rsidRPr="00000000">
              <w:rPr>
                <w:rtl w:val="0"/>
              </w:rPr>
            </w:r>
          </w:p>
          <w:p w:rsidR="00000000" w:rsidDel="00000000" w:rsidP="00000000" w:rsidRDefault="00000000" w:rsidRPr="00000000" w14:paraId="0000004F">
            <w:pPr>
              <w:rPr/>
            </w:pPr>
            <w:r w:rsidDel="00000000" w:rsidR="00000000" w:rsidRPr="00000000">
              <w:rPr>
                <w:rFonts w:ascii="Arial" w:cs="Arial" w:eastAsia="Arial" w:hAnsi="Arial"/>
                <w:b w:val="1"/>
                <w:bCs w:val="1"/>
                <w:color w:val="1dc690"/>
                <w:sz w:val="20"/>
                <w:szCs w:val="20"/>
                <w:rtl w:val="0"/>
              </w:rPr>
              <w:t xml:space="preserve">info@forti.ie   |   01-9065862   |   www.forti.ie</w:t>
            </w:r>
            <w:r w:rsidDel="00000000" w:rsidR="00000000" w:rsidRPr="00000000">
              <w:rPr>
                <w:rtl w:val="0"/>
              </w:rPr>
            </w:r>
          </w:p>
        </w:tc>
      </w:tr>
    </w:tbl>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headerReference r:id="rId8" w:type="default"/>
      <w:footerReference r:id="rId9" w:type="default"/>
      <w:type w:val="nextPage"/>
      <w:pgSz w:h="16838" w:w="11906" w:orient="portrait"/>
      <w:pgMar w:bottom="1000" w:top="1000" w:left="900" w:right="90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2">
    <w:pPr>
      <w:pBdr>
        <w:top w:color="1c4670" w:space="6" w:sz="6" w:val="single"/>
      </w:pBdr>
      <w:tabs>
        <w:tab w:val="right" w:leader="none" w:pos="9026"/>
      </w:tabs>
      <w:rPr/>
    </w:pPr>
    <w:r w:rsidDel="00000000" w:rsidR="00000000" w:rsidRPr="00000000">
      <w:rPr>
        <w:rFonts w:ascii="Arial" w:cs="Arial" w:eastAsia="Arial" w:hAnsi="Arial"/>
        <w:color w:val="4a4a4a"/>
        <w:sz w:val="14"/>
        <w:szCs w:val="14"/>
        <w:rtl w:val="0"/>
      </w:rPr>
      <w:t xml:space="preserve">Forti Ltd.  |  Office 106, Nesta Business Centre, 4-5 Burton Hall Road, Sandyford, Dublin 18  |  www.forti.iePage </w:t>
    </w: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pBdr>
        <w:bottom w:color="1dc690" w:space="8" w:sz="12" w:val="single"/>
      </w:pBdr>
      <w:jc w:val="right"/>
      <w:rPr/>
    </w:pPr>
    <w:r w:rsidDel="00000000" w:rsidR="00000000" w:rsidRPr="00000000">
      <w:rPr/>
      <w:drawing>
        <wp:inline distB="0" distT="0" distL="0" distR="0">
          <wp:extent cx="1238250" cy="438150"/>
          <wp:effectExtent b="0" l="0" r="0" t="0"/>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238250" cy="4381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Vtua7lf+fwxD7W2mKVKAuvspYg==">CgMxLjA4AHIhMWpfTVJTeFlNSVlQT1g2NENEV2RDcjhzRTMtbExMNFJS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