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600"/>
        <w:jc w:val="left"/>
      </w:pPr>
      <w:r>
        <w:drawing>
          <wp:inline distT="0" distB="0" distL="0" distR="0">
            <wp:extent cx="1619250" cy="57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619250" cy="571500"/>
                    </a:xfrm>
                    <a:prstGeom prst="rect">
                      <a:avLst/>
                    </a:prstGeom>
                  </pic:spPr>
                </pic:pic>
              </a:graphicData>
            </a:graphic>
          </wp:inline>
        </w:drawing>
      </w:r>
    </w:p>
    <w:p>
      <w:pPr>
        <w:spacing w:after="60" w:before="900"/>
      </w:pPr>
      <w:r>
        <w:rPr>
          <w:rFonts w:ascii="Arial" w:cs="Arial" w:eastAsia="Arial" w:hAnsi="Arial"/>
          <w:b/>
          <w:bCs/>
          <w:color w:val="1DC690"/>
          <w:spacing w:val="20"/>
          <w:sz w:val="22"/>
          <w:szCs w:val="22"/>
        </w:rPr>
        <w:t xml:space="preserve">COMPANY FORMATION &amp; GOVERNANCE — TEMPLATE</w:t>
      </w:r>
    </w:p>
    <w:p>
      <w:pPr>
        <w:spacing w:after="200"/>
      </w:pPr>
      <w:r>
        <w:rPr>
          <w:rFonts w:ascii="Arial" w:cs="Arial" w:eastAsia="Arial" w:hAnsi="Arial"/>
          <w:b/>
          <w:bCs/>
          <w:color w:val="1C4670"/>
          <w:sz w:val="52"/>
          <w:szCs w:val="52"/>
        </w:rPr>
        <w:t xml:space="preserve">RBO Filing Checklist</w:t>
      </w:r>
    </w:p>
    <w:p>
      <w:pPr>
        <w:spacing w:after="1200"/>
      </w:pPr>
      <w:r>
        <w:rPr>
          <w:rFonts w:ascii="Arial" w:cs="Arial" w:eastAsia="Arial" w:hAnsi="Arial"/>
          <w:color w:val="4A4A4A"/>
          <w:sz w:val="24"/>
          <w:szCs w:val="24"/>
        </w:rPr>
        <w:t xml:space="preserve">Step-by-step preparation for registering your company’s beneficial ownership on the Central Register (RBO).</w:t>
      </w:r>
    </w:p>
    <w:p>
      <w:pPr>
        <w:pBdr>
          <w:top w:val="single" w:color="EAEAE0" w:sz="6" w:space="12"/>
        </w:pBdr>
        <w:spacing w:before="3200"/>
      </w:pPr>
      <w:r>
        <w:rPr>
          <w:rFonts w:ascii="Arial" w:cs="Arial" w:eastAsia="Arial" w:hAnsi="Arial"/>
          <w:color w:val="4A4A4A"/>
          <w:sz w:val="18"/>
          <w:szCs w:val="18"/>
        </w:rPr>
        <w:t xml:space="preserve">Forti Ltd.  |  Sandyford, Dublin 18  |  www.forti.ie</w:t>
      </w:r>
    </w:p>
    <w:p>
      <w:r>
        <w:rPr>
          <w:rFonts w:ascii="Arial" w:cs="Arial" w:eastAsia="Arial" w:hAnsi="Arial"/>
          <w:i/>
          <w:iCs/>
          <w:color w:val="888888"/>
          <w:sz w:val="15"/>
          <w:szCs w:val="15"/>
        </w:rPr>
        <w:t xml:space="preserve">This template is provided for general guidance only and does not constitute legal, tax or professional advice. Forti Ltd. accepts no liability for its use. Always confirm current requirements at cro.ie, rbo.gov.ie or revenue.ie, or speak with your accountant.</w:t>
      </w:r>
    </w:p>
    <w:p>
      <w:pPr>
        <w:sectPr>
          <w:type w:val="nextPage"/>
          <w:pgSz w:w="11906" w:h="16838" w:orient="portrait"/>
          <w:pgMar w:top="720" w:right="900" w:bottom="720" w:left="900" w:header="708" w:footer="708" w:gutter="0"/>
          <w:pgNumType/>
          <w:docGrid w:linePitch="360"/>
        </w:sectPr>
      </w:pPr>
    </w:p>
    <w:p>
      <w:pPr>
        <w:pStyle w:val="Heading1"/>
        <w:spacing w:after="160" w:before="200"/>
      </w:pPr>
      <w:r>
        <w:rPr>
          <w:rFonts w:ascii="Arial" w:cs="Arial" w:eastAsia="Arial" w:hAnsi="Arial"/>
          <w:b/>
          <w:bCs/>
          <w:color w:val="1C4670"/>
          <w:sz w:val="32"/>
          <w:szCs w:val="32"/>
        </w:rPr>
        <w:t xml:space="preserve">RBO Filing Checklist</w:t>
      </w:r>
    </w:p>
    <w:p>
      <w:pPr>
        <w:pBdr>
          <w:bottom w:val="single" w:color="EAEAE0" w:sz="6" w:space="10"/>
        </w:pBdr>
        <w:spacing w:after="300" w:line="280"/>
      </w:pPr>
      <w:r>
        <w:rPr>
          <w:rFonts w:ascii="Arial" w:cs="Arial" w:eastAsia="Arial" w:hAnsi="Arial"/>
          <w:i/>
          <w:iCs/>
          <w:color w:val="333333"/>
          <w:sz w:val="22"/>
          <w:szCs w:val="22"/>
        </w:rPr>
        <w:t xml:space="preserve">Registering your company’s beneficial ownership with the Central Register (RBO) is a one-time filing that many founders leave until it’s overdue — often because identity verification takes longer than expected. This checklist walks through the process in order, including the identity verification step that most catches people out.</w:t>
      </w:r>
    </w:p>
    <w:tbl>
      <w:tblPr>
        <w:tblW w:type="dxa" w:w="9350"/>
        <w:tblBorders>
          <w:top w:val="none"/>
          <w:left w:val="none"/>
          <w:bottom w:val="none"/>
          <w:right w:val="none"/>
          <w:insideH w:val="none"/>
          <w:insideV w:val="none"/>
        </w:tblBorders>
      </w:tblPr>
      <w:tblGrid>
        <w:gridCol w:w="2600"/>
        <w:gridCol w:w="6750"/>
      </w:tblGrid>
      <w:tr>
        <w:tc>
          <w:tcPr>
            <w:tcW w:type="dxa" w:w="2600"/>
            <w:tcMar>
              <w:bottom w:type="dxa" w:w="160"/>
            </w:tcMar>
          </w:tcPr>
          <w:p>
            <w:r>
              <w:rPr>
                <w:rFonts w:ascii="Arial" w:cs="Arial" w:eastAsia="Arial" w:hAnsi="Arial"/>
                <w:b/>
                <w:bCs/>
                <w:color w:val="1C4670"/>
                <w:sz w:val="21"/>
                <w:szCs w:val="21"/>
              </w:rPr>
              <w:t xml:space="preserve">Company Name:</w:t>
            </w:r>
          </w:p>
        </w:tc>
        <w:tc>
          <w:tcPr>
            <w:tcW w:type="dxa" w:w="6750"/>
            <w:tcBorders>
              <w:bottom w:val="single" w:color="999999" w:sz="4"/>
            </w:tcBorders>
            <w:tcMar>
              <w:bottom w:type="dxa" w:w="160"/>
            </w:tcMar>
          </w:tcPr>
          <w:p>
            <w:r>
              <w:rPr>
                <w:rFonts w:ascii="Arial" w:cs="Arial" w:eastAsia="Arial" w:hAnsi="Arial"/>
                <w:sz w:val="21"/>
                <w:szCs w:val="21"/>
              </w:rPr>
              <w:t xml:space="preserve"/>
            </w:r>
          </w:p>
        </w:tc>
      </w:tr>
    </w:tbl>
    <w:tbl>
      <w:tblPr>
        <w:tblW w:type="dxa" w:w="9350"/>
        <w:tblBorders>
          <w:top w:val="none"/>
          <w:left w:val="none"/>
          <w:bottom w:val="none"/>
          <w:right w:val="none"/>
          <w:insideH w:val="none"/>
          <w:insideV w:val="none"/>
        </w:tblBorders>
      </w:tblPr>
      <w:tblGrid>
        <w:gridCol w:w="2600"/>
        <w:gridCol w:w="6750"/>
      </w:tblGrid>
      <w:tr>
        <w:tc>
          <w:tcPr>
            <w:tcW w:type="dxa" w:w="2600"/>
            <w:tcMar>
              <w:bottom w:type="dxa" w:w="160"/>
            </w:tcMar>
          </w:tcPr>
          <w:p>
            <w:r>
              <w:rPr>
                <w:rFonts w:ascii="Arial" w:cs="Arial" w:eastAsia="Arial" w:hAnsi="Arial"/>
                <w:b/>
                <w:bCs/>
                <w:color w:val="1C4670"/>
                <w:sz w:val="21"/>
                <w:szCs w:val="21"/>
              </w:rPr>
              <w:t xml:space="preserve">Company Number:</w:t>
            </w:r>
          </w:p>
        </w:tc>
        <w:tc>
          <w:tcPr>
            <w:tcW w:type="dxa" w:w="6750"/>
            <w:tcBorders>
              <w:bottom w:val="single" w:color="999999" w:sz="4"/>
            </w:tcBorders>
            <w:tcMar>
              <w:bottom w:type="dxa" w:w="160"/>
            </w:tcMar>
          </w:tcPr>
          <w:p>
            <w:r>
              <w:rPr>
                <w:rFonts w:ascii="Arial" w:cs="Arial" w:eastAsia="Arial" w:hAnsi="Arial"/>
                <w:sz w:val="21"/>
                <w:szCs w:val="21"/>
              </w:rPr>
              <w:t xml:space="preserve"/>
            </w:r>
          </w:p>
        </w:tc>
      </w:tr>
    </w:tbl>
    <w:p>
      <w:pPr>
        <w:spacing w:after="160"/>
      </w:pPr>
    </w:p>
    <w:p>
      <w:pPr>
        <w:pStyle w:val="Heading2"/>
        <w:spacing w:after="120" w:before="260"/>
      </w:pPr>
      <w:r>
        <w:rPr>
          <w:rFonts w:ascii="Arial" w:cs="Arial" w:eastAsia="Arial" w:hAnsi="Arial"/>
          <w:b/>
          <w:bCs/>
          <w:color w:val="1C4670"/>
          <w:sz w:val="24"/>
          <w:szCs w:val="24"/>
        </w:rPr>
        <w:t xml:space="preserve">1. Confirm Eligibility &amp; Identify Beneficial Owners</w:t>
      </w:r>
    </w:p>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Confirm the company is a "relevant entity" under S.I. No. 110/2019 (all Irish companies and Industrial &amp; Provident Societies, unless listed on a regulated market with equivalent disclosure rules).</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Identify every natural person who owns or controls more than 25% of shares or voting rights, or who otherwise exercises control.</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Where no beneficial owner can be identified after all reasonable steps, identify the Senior Managing Official(s) to record instead.</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Record the steps taken to identify beneficial owners in the company’s own file (this is a separate obligation under Regulation 5(5)).</w:t>
            </w:r>
          </w:p>
        </w:tc>
      </w:tr>
    </w:tbl>
    <w:p>
      <w:pPr>
        <w:spacing w:after="140"/>
      </w:pPr>
    </w:p>
    <w:p>
      <w:pPr>
        <w:pStyle w:val="Heading2"/>
        <w:spacing w:after="120" w:before="260"/>
      </w:pPr>
      <w:r>
        <w:rPr>
          <w:rFonts w:ascii="Arial" w:cs="Arial" w:eastAsia="Arial" w:hAnsi="Arial"/>
          <w:b/>
          <w:bCs/>
          <w:color w:val="1C4670"/>
          <w:sz w:val="24"/>
          <w:szCs w:val="24"/>
        </w:rPr>
        <w:t xml:space="preserve">2. Gather Required Information for Each Beneficial Owner</w:t>
      </w:r>
    </w:p>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Full legal name (must match the name held on their PPSN record).</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Date of birth, nationality, and residential address.</w:t>
            </w:r>
          </w:p>
        </w:tc>
      </w:tr>
    </w:tbl>
    <w:tbl>
      <w:tblPr>
        <w:tblW w:type="dxa" w:w="9350"/>
        <w:tblBorders>
          <w:top w:val="none"/>
          <w:left w:val="none"/>
          <w:bottom w:val="single" w:color="DDDDDD" w:sz="2"/>
          <w:right w:val="none"/>
          <w:insideH w:val="none"/>
          <w:insideV w:val="none"/>
        </w:tblBorders>
      </w:tblPr>
      <w:tblGrid>
        <w:gridCol w:w="500"/>
        <w:gridCol w:w="5150"/>
        <w:gridCol w:w="370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5150"/>
            <w:tcMar>
              <w:top w:type="dxa" w:w="100"/>
              <w:bottom w:type="dxa" w:w="100"/>
            </w:tcMar>
          </w:tcPr>
          <w:p>
            <w:r>
              <w:rPr>
                <w:rFonts w:ascii="Arial" w:cs="Arial" w:eastAsia="Arial" w:hAnsi="Arial"/>
                <w:sz w:val="21"/>
                <w:szCs w:val="21"/>
              </w:rPr>
              <w:t xml:space="preserve">PPSN — used only for RBO verification against the Department of Social Protection database, never displayed publicly.</w:t>
            </w:r>
          </w:p>
        </w:tc>
        <w:tc>
          <w:tcPr>
            <w:tcW w:type="dxa" w:w="3700"/>
            <w:tcMar>
              <w:top w:type="dxa" w:w="100"/>
              <w:bottom w:type="dxa" w:w="100"/>
            </w:tcMar>
          </w:tcPr>
          <w:p>
            <w:r>
              <w:rPr>
                <w:rFonts w:ascii="Arial" w:cs="Arial" w:eastAsia="Arial" w:hAnsi="Arial"/>
                <w:i/>
                <w:iCs/>
                <w:color w:val="666666"/>
                <w:sz w:val="18"/>
                <w:szCs w:val="18"/>
              </w:rPr>
              <w:t xml:space="preserve">No PPSN? They’ll need an Identified Person Number (IPN) via Form VIF instead — see Section 4.</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Nature and extent of the interest held (e.g. % shares, % voting rights, right to appoint/remove directors).</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Date the person became (or ceased to be) a beneficial owner.</w:t>
            </w:r>
          </w:p>
        </w:tc>
      </w:tr>
    </w:tbl>
    <w:p>
      <w:pPr>
        <w:spacing w:after="140"/>
      </w:pPr>
    </w:p>
    <w:p>
      <w:pPr>
        <w:pStyle w:val="Heading2"/>
        <w:spacing w:after="120" w:before="260"/>
      </w:pPr>
      <w:r>
        <w:rPr>
          <w:rFonts w:ascii="Arial" w:cs="Arial" w:eastAsia="Arial" w:hAnsi="Arial"/>
          <w:b/>
          <w:bCs/>
          <w:color w:val="1C4670"/>
          <w:sz w:val="24"/>
          <w:szCs w:val="24"/>
        </w:rPr>
        <w:t xml:space="preserve">3. Register or Identify a Presenter</w:t>
      </w:r>
    </w:p>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Decide who will submit the filing: an officer/employee of the company directly, or an agent acting as "presenter" on the company’s behalf.</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If using an agent, confirm they are registered as a presenter on the RBO online portal (rbo.gov.ie).</w:t>
            </w:r>
          </w:p>
        </w:tc>
      </w:tr>
    </w:tbl>
    <w:p>
      <w:pPr>
        <w:spacing w:after="140"/>
      </w:pPr>
    </w:p>
    <w:p>
      <w:pPr>
        <w:pStyle w:val="Heading2"/>
        <w:spacing w:after="120" w:before="260"/>
      </w:pPr>
      <w:r>
        <w:rPr>
          <w:rFonts w:ascii="Arial" w:cs="Arial" w:eastAsia="Arial" w:hAnsi="Arial"/>
          <w:b/>
          <w:bCs/>
          <w:color w:val="1C4670"/>
          <w:sz w:val="24"/>
          <w:szCs w:val="24"/>
        </w:rPr>
        <w:t xml:space="preserve">4. Identity Verification — VIF Form (No PPSN)</w:t>
      </w:r>
    </w:p>
    <w:tbl>
      <w:tblPr>
        <w:tblW w:type="dxa" w:w="9350"/>
        <w:tblBorders>
          <w:top w:val="single" w:color="1DC690" w:sz="6"/>
          <w:left w:val="single" w:color="1DC690" w:sz="24"/>
          <w:bottom w:val="single" w:color="1DC690" w:sz="6"/>
          <w:right w:val="single" w:color="1DC690" w:sz="6"/>
          <w:insideH w:val="single" w:color="auto" w:sz="4"/>
          <w:insideV w:val="single" w:color="auto" w:sz="4"/>
        </w:tblBorders>
      </w:tblPr>
      <w:tblGrid>
        <w:gridCol w:w="9350"/>
      </w:tblGrid>
      <w:tr>
        <w:tc>
          <w:tcPr>
            <w:tcW w:type="dxa" w:w="9350"/>
            <w:shd w:fill="F2FBF7" w:val="clear"/>
            <w:tcMar>
              <w:top w:type="dxa" w:w="140"/>
              <w:left w:type="dxa" w:w="200"/>
              <w:bottom w:type="dxa" w:w="140"/>
              <w:right w:type="dxa" w:w="200"/>
            </w:tcMar>
          </w:tcPr>
          <w:p>
            <w:pPr>
              <w:spacing w:after="60"/>
            </w:pPr>
            <w:r>
              <w:rPr>
                <w:rFonts w:ascii="Arial" w:cs="Arial" w:eastAsia="Arial" w:hAnsi="Arial"/>
                <w:b/>
                <w:bCs/>
                <w:color w:val="1C4670"/>
                <w:sz w:val="20"/>
                <w:szCs w:val="20"/>
              </w:rPr>
              <w:t xml:space="preserve">One form now covers both CRO and RBO</w:t>
            </w:r>
          </w:p>
          <w:p>
            <w:r>
              <w:rPr>
                <w:rFonts w:ascii="Arial" w:cs="Arial" w:eastAsia="Arial" w:hAnsi="Arial"/>
                <w:color w:val="333333"/>
                <w:sz w:val="20"/>
                <w:szCs w:val="20"/>
              </w:rPr>
              <w:t xml:space="preserve">Form BEN2 was discontinued on 24 April 2023. The Registrar of Beneficial Ownership has since determined, under Regulation 21(2)(b) of S.I. No. 110/2019, that the Verification of Identity Form (VIF) is the form to be used by any beneficial owner without a PPSN — the same form used for CRO director filings. A beneficial owner who is also a director only needs to complete it once; the resulting Identified Person Number (IPN) works for both.</w:t>
            </w:r>
          </w:p>
        </w:tc>
      </w:tr>
    </w:tbl>
    <w:p>
      <w:pPr>
        <w:spacing w:after="120"/>
      </w:pPr>
    </w:p>
    <w:tbl>
      <w:tblPr>
        <w:tblW w:type="dxa" w:w="9350"/>
        <w:tblBorders>
          <w:top w:val="single" w:color="278AB0" w:sz="6"/>
          <w:left w:val="single" w:color="278AB0" w:sz="24"/>
          <w:bottom w:val="single" w:color="278AB0" w:sz="6"/>
          <w:right w:val="single" w:color="278AB0" w:sz="6"/>
          <w:insideH w:val="single" w:color="auto" w:sz="4"/>
          <w:insideV w:val="single" w:color="auto" w:sz="4"/>
        </w:tblBorders>
      </w:tblPr>
      <w:tblGrid>
        <w:gridCol w:w="9350"/>
      </w:tblGrid>
      <w:tr>
        <w:tc>
          <w:tcPr>
            <w:tcW w:type="dxa" w:w="9350"/>
            <w:shd w:fill="F2FBF7" w:val="clear"/>
            <w:tcMar>
              <w:top w:type="dxa" w:w="140"/>
              <w:left w:type="dxa" w:w="200"/>
              <w:bottom w:type="dxa" w:w="140"/>
              <w:right w:type="dxa" w:w="200"/>
            </w:tcMar>
          </w:tcPr>
          <w:p>
            <w:pPr>
              <w:spacing w:after="60"/>
            </w:pPr>
            <w:r>
              <w:rPr>
                <w:rFonts w:ascii="Arial" w:cs="Arial" w:eastAsia="Arial" w:hAnsi="Arial"/>
                <w:b/>
                <w:bCs/>
                <w:color w:val="1C4670"/>
                <w:sz w:val="20"/>
                <w:szCs w:val="20"/>
              </w:rPr>
              <w:t xml:space="preserve">In-person witnessing only, since 30 April 2026</w:t>
            </w:r>
          </w:p>
          <w:p>
            <w:r>
              <w:rPr>
                <w:rFonts w:ascii="Arial" w:cs="Arial" w:eastAsia="Arial" w:hAnsi="Arial"/>
                <w:color w:val="333333"/>
                <w:sz w:val="20"/>
                <w:szCs w:val="20"/>
              </w:rPr>
              <w:t xml:space="preserve">The VIF must be signed in the presence of a practising solicitor (if in Ireland) or a notary public (if outside Ireland). Since 30 April 2026, the CRO no longer accepts forms witnessed remotely or online — the declarant and witness must be physically together when it’s signed. Older versions of the form, or forms witnessed online, will be rejected. Build in extra time for beneficial owners based outside Ireland.</w:t>
            </w:r>
          </w:p>
        </w:tc>
      </w:tr>
    </w:tbl>
    <w:p>
      <w:pPr>
        <w:spacing w:after="140"/>
      </w:pPr>
    </w:p>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Confirm each beneficial owner without a PPSN completes the current VIF form.</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Arrange in-person witnessing with a practising solicitor (Ireland) or notary public (outside Ireland) — no remote or online witnessing.</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Submit the VIF via the CRO’s CORE portal to obtain the IPN, then use that IPN on the RBO filing in place of a PPSN.</w:t>
            </w:r>
          </w:p>
        </w:tc>
      </w:tr>
    </w:tbl>
    <w:p>
      <w:pPr>
        <w:spacing w:after="140"/>
      </w:pPr>
    </w:p>
    <w:p>
      <w:pPr>
        <w:pStyle w:val="Heading2"/>
        <w:spacing w:after="120" w:before="260"/>
      </w:pPr>
      <w:r>
        <w:rPr>
          <w:rFonts w:ascii="Arial" w:cs="Arial" w:eastAsia="Arial" w:hAnsi="Arial"/>
          <w:b/>
          <w:bCs/>
          <w:color w:val="1C4670"/>
          <w:sz w:val="24"/>
          <w:szCs w:val="24"/>
        </w:rPr>
        <w:t xml:space="preserve">5. Submit the Filing — and Know Both Deadlines</w:t>
      </w:r>
    </w:p>
    <w:tbl>
      <w:tblPr>
        <w:tblW w:type="dxa" w:w="9350"/>
        <w:tblBorders>
          <w:top w:val="single" w:color="1DC690" w:sz="6"/>
          <w:left w:val="single" w:color="1DC690" w:sz="24"/>
          <w:bottom w:val="single" w:color="1DC690" w:sz="6"/>
          <w:right w:val="single" w:color="1DC690" w:sz="6"/>
          <w:insideH w:val="single" w:color="auto" w:sz="4"/>
          <w:insideV w:val="single" w:color="auto" w:sz="4"/>
        </w:tblBorders>
      </w:tblPr>
      <w:tblGrid>
        <w:gridCol w:w="9350"/>
      </w:tblGrid>
      <w:tr>
        <w:tc>
          <w:tcPr>
            <w:tcW w:type="dxa" w:w="9350"/>
            <w:shd w:fill="F2FBF7" w:val="clear"/>
            <w:tcMar>
              <w:top w:type="dxa" w:w="140"/>
              <w:left w:type="dxa" w:w="200"/>
              <w:bottom w:type="dxa" w:w="140"/>
              <w:right w:type="dxa" w:w="200"/>
            </w:tcMar>
          </w:tcPr>
          <w:p>
            <w:pPr>
              <w:spacing w:after="60"/>
            </w:pPr>
            <w:r>
              <w:rPr>
                <w:rFonts w:ascii="Arial" w:cs="Arial" w:eastAsia="Arial" w:hAnsi="Arial"/>
                <w:b/>
                <w:bCs/>
                <w:color w:val="1C4670"/>
                <w:sz w:val="20"/>
                <w:szCs w:val="20"/>
              </w:rPr>
              <w:t xml:space="preserve">Two different deadlines, easy to conflate</w:t>
            </w:r>
          </w:p>
          <w:p>
            <w:r>
              <w:rPr>
                <w:rFonts w:ascii="Arial" w:cs="Arial" w:eastAsia="Arial" w:hAnsi="Arial"/>
                <w:color w:val="333333"/>
                <w:sz w:val="20"/>
                <w:szCs w:val="20"/>
              </w:rPr>
              <w:t xml:space="preserve">A newly incorporated company has 5 months from incorporation to make its first RBO filing (Regulations 19 and 21, S.I. No. 110/2019) — though filing sooner, alongside your initial CRO setup, avoids it being forgotten. Separately, once you’ve filed, any change to beneficial ownership — a new beneficial owner, someone ceasing to qualify, or a change to their details — must be notified to the RBO within just 14 days of that change (Regulation 23(1)). The 14-day rule is the one companies most often miss, since there’s no reminder for it the way there is for annual filings elsewhere.</w:t>
            </w:r>
          </w:p>
        </w:tc>
      </w:tr>
    </w:tbl>
    <w:p>
      <w:pPr>
        <w:spacing w:after="140"/>
      </w:pPr>
    </w:p>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Submit beneficial ownership details online via the RBO portal — paper submissions are not accepted and will not satisfy the obligation (Regulation 20(6)).</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Note the filing reference and confirmation once submitted.</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New companies: file within 5 months of incorporation.</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Any company: update within 14 days of any change to beneficial ownership — new owner, ceased owner, or changed details.</w:t>
            </w:r>
          </w:p>
        </w:tc>
      </w:tr>
    </w:tbl>
    <w:p>
      <w:pPr>
        <w:spacing w:after="140"/>
      </w:pPr>
    </w:p>
    <w:p>
      <w:pPr>
        <w:pStyle w:val="Heading2"/>
        <w:spacing w:after="120" w:before="260"/>
      </w:pPr>
      <w:r>
        <w:rPr>
          <w:rFonts w:ascii="Arial" w:cs="Arial" w:eastAsia="Arial" w:hAnsi="Arial"/>
          <w:b/>
          <w:bCs/>
          <w:color w:val="1C4670"/>
          <w:sz w:val="24"/>
          <w:szCs w:val="24"/>
        </w:rPr>
        <w:t xml:space="preserve">6. After Filing</w:t>
      </w:r>
    </w:p>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Update the company’s own internal beneficial ownership register to mirror what has been filed centrally (see our separate Internal Beneficial Ownership Register template).</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Diarise a standing reminder to check for ownership changes at least quarterly — the 14-day filing clock starts from the date of the change, not the date you notice it.</w:t>
            </w:r>
          </w:p>
        </w:tc>
      </w:tr>
    </w:tbl>
    <w:p>
      <w:pPr>
        <w:spacing w:after="200"/>
      </w:pPr>
    </w:p>
    <w:tbl>
      <w:tblPr>
        <w:tblW w:type="dxa" w:w="9350"/>
        <w:tblBorders>
          <w:top w:val="single" w:color="278AB0" w:sz="6"/>
          <w:left w:val="single" w:color="278AB0" w:sz="24"/>
          <w:bottom w:val="single" w:color="278AB0" w:sz="6"/>
          <w:right w:val="single" w:color="278AB0" w:sz="6"/>
          <w:insideH w:val="single" w:color="auto" w:sz="4"/>
          <w:insideV w:val="single" w:color="auto" w:sz="4"/>
        </w:tblBorders>
      </w:tblPr>
      <w:tblGrid>
        <w:gridCol w:w="9350"/>
      </w:tblGrid>
      <w:tr>
        <w:tc>
          <w:tcPr>
            <w:tcW w:type="dxa" w:w="9350"/>
            <w:shd w:fill="F2FBF7" w:val="clear"/>
            <w:tcMar>
              <w:top w:type="dxa" w:w="140"/>
              <w:left w:type="dxa" w:w="200"/>
              <w:bottom w:type="dxa" w:w="140"/>
              <w:right w:type="dxa" w:w="200"/>
            </w:tcMar>
          </w:tcPr>
          <w:p>
            <w:pPr>
              <w:spacing w:after="60"/>
            </w:pPr>
            <w:r>
              <w:rPr>
                <w:rFonts w:ascii="Arial" w:cs="Arial" w:eastAsia="Arial" w:hAnsi="Arial"/>
                <w:b/>
                <w:bCs/>
                <w:color w:val="1C4670"/>
                <w:sz w:val="20"/>
                <w:szCs w:val="20"/>
              </w:rPr>
              <w:t xml:space="preserve">Getting a non-compliance notice?</w:t>
            </w:r>
          </w:p>
          <w:p>
            <w:r>
              <w:rPr>
                <w:rFonts w:ascii="Arial" w:cs="Arial" w:eastAsia="Arial" w:hAnsi="Arial"/>
                <w:color w:val="333333"/>
                <w:sz w:val="20"/>
                <w:szCs w:val="20"/>
              </w:rPr>
              <w:t xml:space="preserve">A non-compliance notice may issue where a search shows no beneficial ownership details filed for a company. If you receive one and believe your filing is up to date, check the RBO portal directly before responding, or speak with your accountant.</w:t>
            </w:r>
          </w:p>
        </w:tc>
      </w:tr>
    </w:tbl>
    <w:p>
      <w:pPr>
        <w:spacing w:after="200"/>
      </w:pPr>
    </w:p>
    <w:tbl>
      <w:tblPr>
        <w:tblW w:type="dxa" w:w="9350"/>
        <w:tblBorders>
          <w:top w:val="single" w:color="1C4670" w:sz="6"/>
          <w:left w:val="single" w:color="1C4670" w:sz="6"/>
          <w:bottom w:val="single" w:color="1C4670" w:sz="6"/>
          <w:right w:val="single" w:color="1C4670" w:sz="6"/>
          <w:insideH w:val="single" w:color="auto" w:sz="4"/>
          <w:insideV w:val="single" w:color="auto" w:sz="4"/>
        </w:tblBorders>
      </w:tblPr>
      <w:tblGrid>
        <w:gridCol w:w="9350"/>
      </w:tblGrid>
      <w:tr>
        <w:tc>
          <w:tcPr>
            <w:tcW w:type="dxa" w:w="9350"/>
            <w:shd w:fill="1C4670" w:val="clear"/>
            <w:tcMar>
              <w:top w:type="dxa" w:w="220"/>
              <w:left w:type="dxa" w:w="260"/>
              <w:bottom w:type="dxa" w:w="220"/>
              <w:right w:type="dxa" w:w="260"/>
            </w:tcMar>
          </w:tcPr>
          <w:p>
            <w:pPr>
              <w:spacing w:after="80"/>
            </w:pPr>
            <w:r>
              <w:rPr>
                <w:rFonts w:ascii="Arial" w:cs="Arial" w:eastAsia="Arial" w:hAnsi="Arial"/>
                <w:b/>
                <w:bCs/>
                <w:color w:val="FFFFFF"/>
                <w:sz w:val="24"/>
                <w:szCs w:val="24"/>
              </w:rPr>
              <w:t xml:space="preserve">Filing deadline approaching, or already overdue?</w:t>
            </w:r>
          </w:p>
          <w:p>
            <w:pPr>
              <w:spacing w:after="140"/>
            </w:pPr>
            <w:r>
              <w:rPr>
                <w:rFonts w:ascii="Arial" w:cs="Arial" w:eastAsia="Arial" w:hAnsi="Arial"/>
                <w:color w:val="E8EEF3"/>
                <w:sz w:val="20"/>
                <w:szCs w:val="20"/>
              </w:rPr>
              <w:t xml:space="preserve">Forti Ltd. manages RBO filings for Irish companies end-to-end, including arranging VIF identity verification. Talk to our team and we’ll take it from here.</w:t>
            </w:r>
          </w:p>
          <w:p>
            <w:r>
              <w:rPr>
                <w:rFonts w:ascii="Arial" w:cs="Arial" w:eastAsia="Arial" w:hAnsi="Arial"/>
                <w:b/>
                <w:bCs/>
                <w:color w:val="1DC690"/>
                <w:sz w:val="20"/>
                <w:szCs w:val="20"/>
              </w:rPr>
              <w:t xml:space="preserve">info@forti.ie   |   01-9065862   |   www.forti.ie</w:t>
            </w:r>
          </w:p>
        </w:tc>
      </w:tr>
    </w:tbl>
    <w:sectPr>
      <w:headerReference w:type="default" r:id="rId7"/>
      <w:footerReference w:type="default" r:id="rId8"/>
      <w:pgSz w:w="11906" w:h="16838" w:orient="portrait"/>
      <w:pgMar w:top="1000" w:right="900" w:bottom="10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C4670" w:sz="6" w:space="6"/>
      </w:pBdr>
      <w:tabs>
        <w:tab w:val="right" w:pos="9026"/>
      </w:tabs>
    </w:pPr>
    <w:r>
      <w:rPr>
        <w:rFonts w:ascii="Arial" w:cs="Arial" w:eastAsia="Arial" w:hAnsi="Arial"/>
        <w:color w:val="4A4A4A"/>
        <w:sz w:val="14"/>
        <w:szCs w:val="14"/>
      </w:rPr>
      <w:t xml:space="preserve">Forti Ltd.  |  Office 106, Nesta Business Centre, 4-5 Burton Hall Road, Sandyford, Dublin 18  |  www.forti.ie</w:t>
    </w:r>
    <w:r>
      <w:rPr>
        <w:rFonts w:ascii="Arial" w:cs="Arial" w:eastAsia="Arial" w:hAnsi="Arial"/>
      </w:rPr>
      <w:t xml:space="preserve">	</w:t>
    </w:r>
    <w:r>
      <w:rPr>
        <w:rFonts w:ascii="Arial" w:cs="Arial" w:eastAsia="Arial" w:hAnsi="Arial"/>
        <w:color w:val="4A4A4A"/>
        <w:sz w:val="14"/>
        <w:szCs w:val="14"/>
      </w:rPr>
      <w:t xml:space="preserve">Page </w:t>
    </w:r>
    <w:fldSimple w:instr="PAG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DC690" w:sz="12" w:space="8"/>
      </w:pBdr>
      <w:jc w:val="right"/>
    </w:pPr>
    <w:r>
      <w:drawing>
        <wp:inline distT="0" distB="0" distL="0" distR="0">
          <wp:extent cx="1238250" cy="438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4381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60"/>
      </w:pPr>
    </w:lvl>
  </w:abstractNum>
  <w:abstractNum w:abstractNumId="3" w15:restartNumberingAfterBreak="0">
    <w:multiLevelType w:val="hybridMultilevel"/>
    <w:lvl w:ilvl="0" w15:tentative="1">
      <w:start w:val="1"/>
      <w:numFmt w:val="decimal"/>
      <w:lvlText w:val="%1."/>
      <w:lvlJc w:val="left"/>
      <w:pPr>
        <w:ind w:left="42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5ecb80671f708b50df8e914740828ea7e7650ad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ecb80671f708b50df8e914740828ea7e7650ad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2026-07-27T11:42:18.506Z</dcterms:created>
  <dcterms:modified xsi:type="dcterms:W3CDTF">2026-07-27T11:42:18.526Z</dcterms:modified>
</cp:coreProperties>
</file>

<file path=docProps/custom.xml><?xml version="1.0" encoding="utf-8"?>
<Properties xmlns="http://schemas.openxmlformats.org/officeDocument/2006/custom-properties" xmlns:vt="http://schemas.openxmlformats.org/officeDocument/2006/docPropsVTypes"/>
</file>